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ExtensibleDocument.xml" ContentType="application/vnd.openxmlformats-officedocument.wordprocessingml.commentsExtensible+xml"/>
  <Override PartName="/word/commentsDocument.xml" ContentType="application/vnd.openxmlformats-officedocument.wordprocessingml.comment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dedDocument.xml" ContentType="application/vnd.openxmlformats-officedocument.wordprocessingml.commentsExtended+xml"/>
  <Override PartName="/word/comments.xml" ContentType="application/vnd.openxmlformats-officedocument.wordprocessingml.comment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commentsExtensible.xml" ContentType="application/vnd.openxmlformats-officedocument.wordprocessingml.commentsExtensi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sz w:val="24"/>
          <w:szCs w:val="24"/>
          <w14:ligatures w14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Приложение № 1 к Документации о закупке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18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ook w:val="04A0" w:firstRow="1" w:lastRow="0" w:firstColumn="1" w:lastColumn="0" w:noHBand="0" w:noVBand="1"/>
      </w:tblPr>
      <w:tblGrid>
        <w:gridCol w:w="9918"/>
      </w:tblGrid>
      <w:tr>
        <w:tblPrEx/>
        <w:trPr>
          <w:trHeight w:val="1713"/>
        </w:trPr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  <w:t xml:space="preserve">Технические требования на оказание услуг</w:t>
      </w:r>
      <w:r>
        <w:rPr>
          <w:rFonts w:eastAsia="Calibri"/>
          <w:b/>
          <w:sz w:val="24"/>
          <w:szCs w:val="24"/>
          <w:highlight w:val="white"/>
        </w:rPr>
      </w:r>
      <w:r>
        <w:rPr>
          <w:rFonts w:eastAsia="Calibri"/>
          <w:b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</w:r>
      <w:r>
        <w:rPr>
          <w:rFonts w:eastAsia="Calibri"/>
          <w:b/>
          <w:sz w:val="24"/>
          <w:szCs w:val="24"/>
          <w:highlight w:val="white"/>
        </w:rPr>
      </w:r>
      <w:r>
        <w:rPr>
          <w:rFonts w:eastAsia="Calibri"/>
          <w:b/>
          <w:sz w:val="24"/>
          <w:szCs w:val="24"/>
          <w:highlight w:val="white"/>
        </w:rPr>
      </w:r>
    </w:p>
    <w:p>
      <w:pPr>
        <w:jc w:val="center"/>
        <w:tabs>
          <w:tab w:val="left" w:pos="321" w:leader="none"/>
        </w:tabs>
        <w:rPr>
          <w:b w:val="0"/>
          <w:bCs w:val="0"/>
          <w:color w:val="000000" w:themeColor="text1"/>
          <w:sz w:val="24"/>
          <w:szCs w:val="24"/>
          <w:highlight w:val="white"/>
        </w:rPr>
      </w:pPr>
      <w:r>
        <w:rPr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b w:val="0"/>
          <w:bCs w:val="0"/>
          <w:color w:val="000000" w:themeColor="text1"/>
          <w:sz w:val="24"/>
          <w:szCs w:val="24"/>
          <w:highlight w:val="white"/>
        </w:rPr>
        <w:t xml:space="preserve">ОКДП2 33.12.19 Оказание услуг по техническому обслуживанию генераторов ст. №№ 1,3 типа BDAX 7-290 ERJT1 в объеме 30000 часов  </w:t>
      </w:r>
      <w:r>
        <w:rPr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b w:val="0"/>
          <w:bCs w:val="0"/>
          <w:color w:val="000000" w:themeColor="text1"/>
          <w:sz w:val="24"/>
          <w:szCs w:val="24"/>
          <w:highlight w:val="white"/>
        </w:rPr>
      </w:r>
    </w:p>
    <w:p>
      <w:pPr>
        <w:jc w:val="center"/>
        <w:tabs>
          <w:tab w:val="left" w:pos="321" w:leader="none"/>
        </w:tabs>
        <w:rPr>
          <w:b w:val="0"/>
          <w:bCs w:val="0"/>
          <w:color w:val="000000" w:themeColor="text1"/>
          <w:sz w:val="24"/>
          <w:szCs w:val="24"/>
          <w:highlight w:val="white"/>
        </w:rPr>
      </w:pPr>
      <w:r>
        <w:rPr>
          <w:b w:val="0"/>
          <w:bCs w:val="0"/>
          <w:color w:val="000000" w:themeColor="text1"/>
          <w:sz w:val="24"/>
          <w:szCs w:val="24"/>
          <w:highlight w:val="white"/>
        </w:rPr>
        <w:t xml:space="preserve">СП «ТЭЦ Восточная», г. Владивосток</w:t>
      </w:r>
      <w:r>
        <w:rPr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b w:val="0"/>
          <w:bCs w:val="0"/>
          <w:color w:val="000000" w:themeColor="text1"/>
          <w:sz w:val="24"/>
          <w:szCs w:val="24"/>
          <w:highlight w:val="white"/>
        </w:rPr>
      </w:r>
    </w:p>
    <w:p>
      <w:pPr>
        <w:ind w:right="72"/>
        <w:jc w:val="center"/>
        <w:widowControl w:val="off"/>
        <w:tabs>
          <w:tab w:val="left" w:pos="6702" w:leader="none"/>
          <w:tab w:val="left" w:pos="6936" w:leader="none"/>
        </w:tabs>
        <w:rPr>
          <w:rFonts w:eastAsia="Calibri"/>
          <w:b w:val="0"/>
          <w:bCs w:val="0"/>
          <w:i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rFonts w:eastAsia="Calibri"/>
          <w:b w:val="0"/>
          <w:bCs w:val="0"/>
          <w:i/>
          <w:sz w:val="24"/>
          <w:szCs w:val="24"/>
          <w:highlight w:val="white"/>
        </w:rPr>
      </w:r>
      <w:r>
        <w:rPr>
          <w:rFonts w:eastAsia="Calibri"/>
          <w:b w:val="0"/>
          <w:bCs w:val="0"/>
          <w:i/>
          <w:sz w:val="24"/>
          <w:szCs w:val="24"/>
          <w:highlight w:val="white"/>
        </w:rPr>
      </w:r>
    </w:p>
    <w:p>
      <w:pPr>
        <w:ind w:right="72"/>
        <w:jc w:val="center"/>
        <w:widowControl w:val="off"/>
        <w:tabs>
          <w:tab w:val="left" w:pos="6702" w:leader="none"/>
          <w:tab w:val="left" w:pos="6936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rFonts w:eastAsia="Calibri"/>
          <w:b w:val="0"/>
          <w:bCs w:val="0"/>
          <w:sz w:val="24"/>
          <w:szCs w:val="24"/>
          <w:highlight w:val="white"/>
        </w:rPr>
        <w:t xml:space="preserve">Лот № </w:t>
      </w:r>
      <w:r>
        <w:rPr>
          <w:b w:val="0"/>
          <w:bCs w:val="0"/>
          <w:sz w:val="24"/>
          <w:szCs w:val="24"/>
          <w:highlight w:val="white"/>
        </w:rPr>
        <w:t xml:space="preserve">11038009-РЕМ ПРОД-2026-ДГК-ВосТЭЦ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jc w:val="both"/>
        <w:keepLines/>
        <w:keepNext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jc w:val="center"/>
        <w:rPr>
          <w:b/>
          <w:sz w:val="24"/>
          <w:szCs w:val="24"/>
          <w:highlight w:val="yellow"/>
        </w:rPr>
      </w:pPr>
      <w:r>
        <w:rPr>
          <w:sz w:val="24"/>
          <w:szCs w:val="24"/>
          <w:highlight w:val="white"/>
        </w:rPr>
        <w:br w:type="page" w:clear="all"/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СОДЕРЖАНИЕ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</w:r>
      <w:r>
        <w:rPr>
          <w:b/>
          <w:sz w:val="24"/>
          <w:szCs w:val="24"/>
          <w:highlight w:val="yellow"/>
        </w:rPr>
      </w:r>
    </w:p>
    <w:p>
      <w:pPr>
        <w:jc w:val="center"/>
        <w:rPr>
          <w:b/>
          <w:bCs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tbl>
      <w:tblPr>
        <w:tblStyle w:val="11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756"/>
        <w:gridCol w:w="8167"/>
        <w:gridCol w:w="647"/>
      </w:tblGrid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1.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Общие сведения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1.1.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Наименование закупаемой продукции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1.2.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Цель оказания </w:t>
            </w:r>
            <w:r>
              <w:rPr>
                <w:sz w:val="24"/>
                <w:szCs w:val="24"/>
                <w:highlight w:val="white"/>
              </w:rPr>
              <w:t xml:space="preserve">у</w:t>
            </w:r>
            <w:r>
              <w:rPr>
                <w:sz w:val="24"/>
                <w:szCs w:val="24"/>
                <w:highlight w:val="white"/>
              </w:rPr>
              <w:t xml:space="preserve">с</w:t>
            </w:r>
            <w:r>
              <w:rPr>
                <w:sz w:val="24"/>
                <w:szCs w:val="24"/>
                <w:highlight w:val="white"/>
              </w:rPr>
              <w:t xml:space="preserve">л</w:t>
            </w:r>
            <w:r>
              <w:rPr>
                <w:sz w:val="24"/>
                <w:szCs w:val="24"/>
                <w:highlight w:val="white"/>
              </w:rPr>
              <w:t xml:space="preserve">у</w:t>
            </w:r>
            <w:r>
              <w:rPr>
                <w:sz w:val="24"/>
                <w:szCs w:val="24"/>
                <w:highlight w:val="white"/>
              </w:rPr>
              <w:t xml:space="preserve">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Таблица 1. Перечень объектов заказчика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70"/>
        </w:trPr>
        <w:tc>
          <w:tcPr>
            <w:tcW w:w="75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1.3.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2.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продукции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3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2.1.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Требования к объемам и срокам оказания услуг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83"/>
        </w:trPr>
        <w:tc>
          <w:tcPr>
            <w:tcW w:w="75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2.1.1.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видам и объемам </w:t>
            </w:r>
            <w:r>
              <w:rPr>
                <w:sz w:val="24"/>
                <w:szCs w:val="24"/>
                <w:highlight w:val="white"/>
              </w:rPr>
              <w:t xml:space="preserve">у</w:t>
            </w:r>
            <w:r>
              <w:rPr>
                <w:sz w:val="24"/>
                <w:szCs w:val="24"/>
                <w:highlight w:val="white"/>
              </w:rPr>
              <w:t xml:space="preserve">с</w:t>
            </w:r>
            <w:r>
              <w:rPr>
                <w:sz w:val="24"/>
                <w:szCs w:val="24"/>
                <w:highlight w:val="white"/>
              </w:rPr>
              <w:t xml:space="preserve">л</w:t>
            </w:r>
            <w:r>
              <w:rPr>
                <w:sz w:val="24"/>
                <w:szCs w:val="24"/>
                <w:highlight w:val="white"/>
              </w:rPr>
              <w:t xml:space="preserve">уг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8923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Таблица 2. Перечень и объем </w:t>
            </w:r>
            <w:r>
              <w:rPr>
                <w:b/>
                <w:sz w:val="24"/>
                <w:szCs w:val="24"/>
                <w:highlight w:val="white"/>
              </w:rPr>
              <w:t xml:space="preserve">оказываемых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у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с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л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уг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2.1.2.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Требования к срокам </w:t>
            </w:r>
            <w:r>
              <w:rPr>
                <w:sz w:val="24"/>
                <w:szCs w:val="24"/>
                <w:highlight w:val="white"/>
              </w:rPr>
              <w:t xml:space="preserve">оказания услуг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8923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Таблица 3. Требования по срокам оказания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у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с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л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уг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4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2.2.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качеству оказания </w:t>
            </w:r>
            <w:r>
              <w:rPr>
                <w:sz w:val="24"/>
                <w:szCs w:val="24"/>
                <w:highlight w:val="white"/>
              </w:rPr>
              <w:t xml:space="preserve">у</w:t>
            </w:r>
            <w:r>
              <w:rPr>
                <w:sz w:val="24"/>
                <w:szCs w:val="24"/>
                <w:highlight w:val="white"/>
              </w:rPr>
              <w:t xml:space="preserve">с</w:t>
            </w:r>
            <w:r>
              <w:rPr>
                <w:sz w:val="24"/>
                <w:szCs w:val="24"/>
                <w:highlight w:val="white"/>
              </w:rPr>
              <w:t xml:space="preserve">л</w:t>
            </w:r>
            <w:r>
              <w:rPr>
                <w:sz w:val="24"/>
                <w:szCs w:val="24"/>
                <w:highlight w:val="white"/>
              </w:rPr>
              <w:t xml:space="preserve">у</w:t>
            </w:r>
            <w:r>
              <w:rPr>
                <w:sz w:val="24"/>
                <w:szCs w:val="24"/>
                <w:highlight w:val="white"/>
              </w:rPr>
              <w:t xml:space="preserve">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892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Таблица 4. Требования к </w:t>
            </w:r>
            <w:r>
              <w:rPr>
                <w:b/>
                <w:sz w:val="24"/>
                <w:szCs w:val="24"/>
                <w:highlight w:val="white"/>
              </w:rPr>
              <w:t xml:space="preserve">оказанию</w:t>
            </w:r>
            <w:r>
              <w:rPr>
                <w:b/>
                <w:sz w:val="24"/>
                <w:szCs w:val="24"/>
                <w:highlight w:val="white"/>
              </w:rPr>
              <w:t xml:space="preserve"> </w:t>
            </w:r>
            <w:r>
              <w:rPr>
                <w:b/>
                <w:sz w:val="24"/>
                <w:szCs w:val="24"/>
                <w:highlight w:val="white"/>
              </w:rPr>
              <w:t xml:space="preserve">услуг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5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3.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документации по ценообразованию на этапе закупки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16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4.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документации по ценообразованию на этапе заключения (исполнения) договора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16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5.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Приложения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16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</w:tbl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rPr>
          <w:rFonts w:eastAsia="Calibri"/>
          <w:b/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br w:type="page" w:clear="all"/>
      </w:r>
      <w:r>
        <w:rPr>
          <w:rFonts w:eastAsia="Calibri"/>
          <w:b/>
          <w:bCs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</w:r>
    </w:p>
    <w:p>
      <w:pPr>
        <w:pStyle w:val="1208"/>
        <w:numPr>
          <w:ilvl w:val="0"/>
          <w:numId w:val="22"/>
        </w:numPr>
        <w:ind w:left="360" w:right="0" w:firstLine="349"/>
        <w:jc w:val="center"/>
        <w:tabs>
          <w:tab w:val="left" w:pos="1134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 </w:t>
      </w:r>
      <w:r>
        <w:rPr>
          <w:b/>
          <w:bCs/>
          <w:sz w:val="24"/>
          <w:szCs w:val="24"/>
          <w:highlight w:val="white"/>
        </w:rPr>
        <w:t xml:space="preserve">Общие 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сведения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208"/>
        <w:numPr>
          <w:ilvl w:val="1"/>
          <w:numId w:val="22"/>
        </w:numPr>
        <w:ind w:left="0" w:right="0" w:firstLine="709"/>
        <w:tabs>
          <w:tab w:val="left" w:pos="127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Наименование </w:t>
      </w:r>
      <w:r>
        <w:rPr>
          <w:b/>
          <w:bCs/>
          <w:sz w:val="24"/>
          <w:szCs w:val="24"/>
          <w:highlight w:val="white"/>
        </w:rPr>
        <w:t xml:space="preserve">закупаемой продукции</w:t>
      </w:r>
      <w:r>
        <w:rPr>
          <w:b/>
          <w:bCs/>
          <w:sz w:val="24"/>
          <w:szCs w:val="24"/>
          <w:highlight w:val="white"/>
        </w:rPr>
        <w:t xml:space="preserve">: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left="0" w:right="0" w:firstLine="709"/>
        <w:jc w:val="both"/>
        <w:rPr>
          <w:sz w:val="24"/>
          <w:szCs w:val="24"/>
        </w:rPr>
      </w:pPr>
      <w:r>
        <w:rPr>
          <w:i w:val="0"/>
          <w:iCs w:val="0"/>
          <w:color w:val="000000" w:themeColor="text1"/>
          <w:sz w:val="24"/>
          <w:szCs w:val="24"/>
          <w:highlight w:val="white"/>
        </w:rPr>
        <w:t xml:space="preserve">Те</w:t>
      </w:r>
      <w:r>
        <w:rPr>
          <w:i w:val="0"/>
          <w:iCs w:val="0"/>
          <w:color w:val="000000" w:themeColor="text1"/>
          <w:sz w:val="24"/>
          <w:szCs w:val="24"/>
          <w:highlight w:val="white"/>
        </w:rPr>
        <w:t xml:space="preserve">хническое обслуживание генераторов ст. №№ 1,3 типа BDAX 7-290 ERJT1 в объеме 30000 часов  </w:t>
      </w:r>
      <w:r>
        <w:rPr>
          <w:i w:val="0"/>
          <w:iCs w:val="0"/>
          <w:color w:val="000000" w:themeColor="text1"/>
          <w:sz w:val="24"/>
          <w:szCs w:val="24"/>
          <w:highlight w:val="white"/>
        </w:rPr>
        <w:t xml:space="preserve">СП «ТЭЦ Восточная», г. Владивосток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tabs>
          <w:tab w:val="left" w:pos="32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08"/>
        <w:numPr>
          <w:ilvl w:val="1"/>
          <w:numId w:val="22"/>
        </w:numPr>
        <w:ind w:left="0" w:right="0" w:firstLine="709"/>
        <w:tabs>
          <w:tab w:val="left" w:pos="1134" w:leader="none"/>
        </w:tabs>
        <w:rPr>
          <w:b/>
          <w:bCs/>
          <w:sz w:val="24"/>
          <w:szCs w:val="24"/>
          <w:highlight w:val="white"/>
          <w14:ligatures w14:val="none"/>
        </w:rPr>
      </w:pPr>
      <w:r>
        <w:rPr>
          <w:b/>
          <w:bCs/>
          <w:sz w:val="24"/>
          <w:szCs w:val="24"/>
          <w:highlight w:val="white"/>
        </w:rPr>
        <w:t xml:space="preserve">Цель </w:t>
      </w:r>
      <w:r>
        <w:rPr>
          <w:b/>
          <w:bCs/>
          <w:sz w:val="24"/>
          <w:szCs w:val="24"/>
          <w:highlight w:val="white"/>
        </w:rPr>
        <w:t xml:space="preserve">оказания услуг</w:t>
      </w:r>
      <w:r>
        <w:rPr>
          <w:b/>
          <w:bCs/>
          <w:sz w:val="24"/>
          <w:szCs w:val="24"/>
          <w:highlight w:val="white"/>
        </w:rPr>
        <w:t xml:space="preserve">:</w:t>
      </w:r>
      <w:r>
        <w:rPr>
          <w:b/>
          <w:bCs/>
          <w:sz w:val="24"/>
          <w:szCs w:val="24"/>
          <w:highlight w:val="white"/>
          <w14:ligatures w14:val="none"/>
        </w:rPr>
      </w:r>
      <w:r>
        <w:rPr>
          <w:b/>
          <w:bCs/>
          <w:sz w:val="24"/>
          <w:szCs w:val="24"/>
          <w:highlight w:val="white"/>
          <w14:ligatures w14:val="none"/>
        </w:rPr>
      </w:r>
    </w:p>
    <w:p>
      <w:pPr>
        <w:ind w:left="0" w:right="0" w:firstLine="709"/>
        <w:jc w:val="both"/>
        <w:rPr>
          <w:bCs w:val="0"/>
          <w:i w:val="0"/>
          <w:color w:val="000000" w:themeColor="text1"/>
          <w:sz w:val="24"/>
          <w:szCs w:val="24"/>
          <w:highlight w:val="none"/>
          <w14:ligatures w14:val="none"/>
        </w:rPr>
      </w:pPr>
      <w:r>
        <w:rPr>
          <w:i w:val="0"/>
          <w:iCs w:val="0"/>
          <w:color w:val="000000" w:themeColor="text1"/>
          <w:sz w:val="24"/>
          <w:szCs w:val="24"/>
          <w:highlight w:val="white"/>
        </w:rPr>
        <w:t xml:space="preserve">Целью </w:t>
      </w:r>
      <w:r>
        <w:rPr>
          <w:i w:val="0"/>
          <w:iCs w:val="0"/>
          <w:color w:val="000000" w:themeColor="text1"/>
          <w:sz w:val="24"/>
          <w:szCs w:val="24"/>
          <w:highlight w:val="white"/>
        </w:rPr>
        <w:t xml:space="preserve">оказания услуг</w:t>
      </w:r>
      <w:r>
        <w:rPr>
          <w:i w:val="0"/>
          <w:iCs w:val="0"/>
          <w:color w:val="000000" w:themeColor="text1"/>
          <w:sz w:val="24"/>
          <w:szCs w:val="24"/>
          <w:highlight w:val="white"/>
        </w:rPr>
        <w:t xml:space="preserve"> является обеспечение надёжной эксплуатации </w:t>
      </w:r>
      <w:r>
        <w:rPr>
          <w:i w:val="0"/>
          <w:iCs w:val="0"/>
          <w:color w:val="000000" w:themeColor="text1"/>
          <w:sz w:val="24"/>
          <w:szCs w:val="24"/>
          <w:highlight w:val="white"/>
        </w:rPr>
        <w:t xml:space="preserve">генераторов ст. №№ 1,3 типа BDAX 7-290 ERJT1</w:t>
      </w:r>
      <w:r>
        <w:rPr>
          <w:bCs w:val="0"/>
          <w:i w:val="0"/>
          <w:color w:val="000000" w:themeColor="text1"/>
          <w:sz w:val="24"/>
          <w:szCs w:val="24"/>
          <w:highlight w:val="none"/>
          <w14:ligatures w14:val="none"/>
        </w:rPr>
        <w:t xml:space="preserve">.</w:t>
      </w:r>
      <w:r>
        <w:rPr>
          <w:bCs w:val="0"/>
          <w:i w:val="0"/>
          <w:color w:val="000000" w:themeColor="text1"/>
          <w:sz w:val="24"/>
          <w:szCs w:val="24"/>
          <w:highlight w:val="none"/>
          <w14:ligatures w14:val="none"/>
        </w:rPr>
      </w:r>
      <w:r>
        <w:rPr>
          <w:bCs w:val="0"/>
          <w:i w:val="0"/>
          <w:color w:val="000000" w:themeColor="text1"/>
          <w:sz w:val="24"/>
          <w:szCs w:val="24"/>
          <w:highlight w:val="none"/>
          <w14:ligatures w14:val="none"/>
        </w:rPr>
      </w:r>
    </w:p>
    <w:p>
      <w:pPr>
        <w:pStyle w:val="986"/>
        <w:numPr>
          <w:ilvl w:val="0"/>
          <w:numId w:val="0"/>
        </w:numPr>
        <w:ind w:left="0" w:right="0" w:firstLine="709"/>
        <w:keepLines/>
        <w:spacing w:before="240"/>
        <w:rPr>
          <w:sz w:val="24"/>
          <w:szCs w:val="24"/>
          <w:highlight w:val="white"/>
        </w:rPr>
      </w:pPr>
      <w:r>
        <w:rPr>
          <w:sz w:val="24"/>
          <w:szCs w:val="24"/>
        </w:rPr>
      </w:r>
      <w:bookmarkStart w:id="6" w:name="_Toc1"/>
      <w:r>
        <w:rPr>
          <w:sz w:val="24"/>
          <w:szCs w:val="24"/>
          <w:highlight w:val="white"/>
        </w:rPr>
        <w:t xml:space="preserve">Таблица 1. Перечень объектов зак</w:t>
      </w:r>
      <w:r>
        <w:rPr>
          <w:sz w:val="24"/>
          <w:szCs w:val="24"/>
          <w:highlight w:val="white"/>
        </w:rPr>
        <w:t xml:space="preserve">азчика</w:t>
      </w:r>
      <w:r>
        <w:rPr>
          <w:sz w:val="24"/>
          <w:szCs w:val="24"/>
          <w:highlight w:val="white"/>
        </w:rPr>
      </w:r>
      <w:bookmarkEnd w:id="6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721" w:type="dxa"/>
        <w:tblInd w:w="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901"/>
        <w:gridCol w:w="1984"/>
        <w:gridCol w:w="2693"/>
        <w:gridCol w:w="1575"/>
      </w:tblGrid>
      <w:tr>
        <w:tblPrEx/>
        <w:trPr/>
        <w:tc>
          <w:tcPr>
            <w:tcW w:w="568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№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п/п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9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Наименование объекта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Расположение объекта </w:t>
            </w:r>
            <w:r>
              <w:rPr>
                <w:sz w:val="24"/>
                <w:szCs w:val="24"/>
                <w:highlight w:val="white"/>
              </w:rPr>
              <w:br/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(место оказания услуг)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  <w:highlight w:val="white"/>
              </w:rPr>
              <w:t xml:space="preserve">(в отношении которого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оказываются услуги</w:t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5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Примечания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56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1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901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4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157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5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212"/>
        </w:trPr>
        <w:tc>
          <w:tcPr>
            <w:tcW w:w="568" w:type="dxa"/>
            <w:vAlign w:val="center"/>
            <w:vMerge w:val="restart"/>
            <w:textDirection w:val="lrTb"/>
            <w:noWrap w:val="false"/>
          </w:tcPr>
          <w:p>
            <w:pPr>
              <w:pStyle w:val="1208"/>
              <w:numPr>
                <w:ilvl w:val="0"/>
                <w:numId w:val="8"/>
              </w:num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9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21" w:leader="none"/>
              </w:tabs>
              <w:rPr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ОКДП2 33.12.19 Оказание услуг по техническому обслуживанию генераторов ст. №№ 1,3 типа BDAX 7-290 ERJT1 в объеме 30000 часов  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СП «ТЭЦ Восточная», г. Владивосток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</w:r>
            <w:r>
              <w:rPr>
                <w:rFonts w:eastAsia="Calibri"/>
                <w:bCs/>
                <w:sz w:val="24"/>
                <w:szCs w:val="24"/>
              </w:rPr>
              <w:t xml:space="preserve">690074, 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«ТЭЦ Восточная» 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АО «ДГК»,   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г. Владивосток, ул. Снеговая, 22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693" w:type="dxa"/>
            <w:vAlign w:val="center"/>
            <w:vMerge w:val="restart"/>
            <w:textDirection w:val="lrTb"/>
            <w:noWrap w:val="false"/>
          </w:tcPr>
          <w:p>
            <w:pPr>
              <w:pStyle w:val="1208"/>
              <w:ind w:left="0"/>
              <w:jc w:val="left"/>
              <w:shd w:val="clear" w:color="auto" w:fill="ffffff"/>
              <w:widowControl w:val="off"/>
              <w:tabs>
                <w:tab w:val="left" w:pos="567" w:leader="none"/>
                <w:tab w:val="left" w:pos="1134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Генератор ст. № 1 типа BDAX 7-290 ERJT1, </w:t>
            </w:r>
            <w:r>
              <w:rPr>
                <w:sz w:val="24"/>
                <w:szCs w:val="24"/>
                <w:highlight w:val="white"/>
                <w:lang w:eastAsia="en-US"/>
              </w:rPr>
              <w:t xml:space="preserve">Инв. </w:t>
            </w:r>
            <w:r>
              <w:rPr>
                <w:sz w:val="24"/>
                <w:szCs w:val="24"/>
                <w:highlight w:val="white"/>
                <w:lang w:eastAsia="en-US"/>
              </w:rPr>
              <w:t xml:space="preserve">№ </w:t>
            </w:r>
            <w:r>
              <w:rPr>
                <w:sz w:val="24"/>
                <w:szCs w:val="24"/>
                <w:highlight w:val="white"/>
                <w:lang w:eastAsia="en-US"/>
              </w:rPr>
              <w:t xml:space="preserve">ПГ000000000000003815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75" w:type="dxa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881"/>
        </w:trPr>
        <w:tc>
          <w:tcPr>
            <w:tcW w:w="568" w:type="dxa"/>
            <w:vAlign w:val="center"/>
            <w:vMerge w:val="restart"/>
            <w:textDirection w:val="lrTb"/>
            <w:noWrap w:val="false"/>
          </w:tcPr>
          <w:p>
            <w:pPr>
              <w:pStyle w:val="1208"/>
              <w:numPr>
                <w:ilvl w:val="0"/>
                <w:numId w:val="8"/>
              </w:num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90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vMerge w:val="restart"/>
            <w:textDirection w:val="lrTb"/>
            <w:noWrap w:val="false"/>
          </w:tcPr>
          <w:p>
            <w:pPr>
              <w:pStyle w:val="1208"/>
              <w:ind w:left="0"/>
              <w:jc w:val="left"/>
              <w:shd w:val="clear" w:color="auto" w:fill="ffffff"/>
              <w:widowControl w:val="off"/>
              <w:tabs>
                <w:tab w:val="left" w:pos="567" w:leader="none"/>
                <w:tab w:val="left" w:pos="1134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Генератор ст. № 3 типа BDAX 7-290 ERJT1, </w:t>
            </w:r>
            <w:r>
              <w:rPr>
                <w:sz w:val="24"/>
                <w:szCs w:val="24"/>
                <w:highlight w:val="white"/>
                <w:lang w:eastAsia="en-US"/>
              </w:rPr>
              <w:t xml:space="preserve">Инв. </w:t>
            </w:r>
            <w:r>
              <w:rPr>
                <w:sz w:val="24"/>
                <w:szCs w:val="24"/>
                <w:highlight w:val="white"/>
                <w:lang w:eastAsia="en-US"/>
              </w:rPr>
              <w:t xml:space="preserve">№ </w:t>
            </w:r>
            <w:r>
              <w:rPr>
                <w:sz w:val="24"/>
                <w:szCs w:val="24"/>
                <w:highlight w:val="white"/>
                <w:lang w:eastAsia="en-US"/>
              </w:rPr>
              <w:t xml:space="preserve">ПГ000000000000003814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1575" w:type="dxa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</w:tc>
      </w:tr>
    </w:tbl>
    <w:p>
      <w:pPr>
        <w:ind w:left="0" w:right="0" w:firstLine="709"/>
        <w:jc w:val="both"/>
        <w:rPr>
          <w:b w:val="0"/>
          <w:bCs w:val="0"/>
          <w:sz w:val="24"/>
          <w:szCs w:val="24"/>
          <w:highlight w:val="white"/>
          <w14:ligatures w14:val="none"/>
        </w:rPr>
      </w:pPr>
      <w:r>
        <w:rPr>
          <w:b w:val="0"/>
          <w:bCs w:val="0"/>
          <w:sz w:val="24"/>
          <w:szCs w:val="24"/>
          <w:highlight w:val="none"/>
          <w:lang w:val="ru-RU"/>
        </w:rPr>
      </w:r>
      <w:r>
        <w:rPr>
          <w:b w:val="0"/>
          <w:bCs w:val="0"/>
          <w:sz w:val="24"/>
          <w:szCs w:val="24"/>
          <w:highlight w:val="white"/>
          <w14:ligatures w14:val="none"/>
        </w:rPr>
      </w:r>
      <w:r>
        <w:rPr>
          <w:b w:val="0"/>
          <w:bCs w:val="0"/>
          <w:sz w:val="24"/>
          <w:szCs w:val="24"/>
          <w:highlight w:val="white"/>
          <w14:ligatures w14:val="none"/>
        </w:rPr>
      </w:r>
    </w:p>
    <w:p>
      <w:pPr>
        <w:pStyle w:val="1208"/>
        <w:numPr>
          <w:ilvl w:val="1"/>
          <w:numId w:val="22"/>
        </w:numPr>
        <w:ind w:left="0" w:right="0" w:firstLine="709"/>
        <w:jc w:val="both"/>
        <w:tabs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08"/>
        <w:numPr>
          <w:ilvl w:val="2"/>
          <w:numId w:val="22"/>
        </w:numPr>
        <w:ind w:left="0" w:right="0" w:firstLine="720"/>
        <w:jc w:val="both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После письменного запроса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Исполнителя</w:t>
      </w:r>
      <w:r>
        <w:rPr>
          <w:b w:val="0"/>
          <w:bCs w:val="0"/>
          <w:sz w:val="24"/>
          <w:szCs w:val="24"/>
          <w:highlight w:val="white"/>
        </w:rPr>
        <w:t xml:space="preserve">, Заказчик предоставляет техническую и иную документацию, содержащую исходные данные для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оказания услуг по Договору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left="360" w:right="0" w:firstLine="0"/>
        <w:jc w:val="both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208"/>
        <w:numPr>
          <w:ilvl w:val="0"/>
          <w:numId w:val="22"/>
        </w:numPr>
        <w:jc w:val="center"/>
        <w:rPr>
          <w:rFonts w:hint="default"/>
          <w:b/>
          <w:bCs/>
          <w:i w:val="0"/>
          <w:sz w:val="24"/>
          <w:szCs w:val="24"/>
          <w:highlight w:val="white"/>
          <w14:ligatures w14:val="non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bookmarkStart w:id="5" w:name="_Hlk49857604"/>
      <w:r>
        <w:rPr>
          <w:sz w:val="24"/>
          <w:szCs w:val="24"/>
          <w:highlight w:val="white"/>
        </w:rPr>
      </w:r>
      <w:bookmarkEnd w:id="5"/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Т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ре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б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ования 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к продукции</w:t>
      </w:r>
      <w:r>
        <w:rPr>
          <w:rFonts w:hint="default"/>
          <w:b/>
          <w:bCs/>
          <w:i w:val="0"/>
          <w:sz w:val="24"/>
          <w:szCs w:val="24"/>
          <w:highlight w:val="white"/>
          <w14:ligatures w14:val="none"/>
        </w:rPr>
      </w:r>
      <w:r>
        <w:rPr>
          <w:rFonts w:hint="default"/>
          <w:b/>
          <w:bCs/>
          <w:i w:val="0"/>
          <w:sz w:val="24"/>
          <w:szCs w:val="24"/>
          <w:highlight w:val="white"/>
          <w14:ligatures w14:val="none"/>
        </w:rPr>
      </w:r>
    </w:p>
    <w:p>
      <w:pPr>
        <w:pStyle w:val="1208"/>
        <w:numPr>
          <w:ilvl w:val="1"/>
          <w:numId w:val="22"/>
        </w:numPr>
        <w:ind w:left="792" w:right="0" w:hanging="83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Требования к объемам и срокам оказания услуг.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208"/>
        <w:numPr>
          <w:ilvl w:val="2"/>
          <w:numId w:val="22"/>
        </w:numPr>
        <w:ind w:left="792" w:right="0" w:hanging="83"/>
        <w:rPr>
          <w:rFonts w:hint="default"/>
          <w:b w:val="0"/>
          <w:bCs w:val="0"/>
          <w:i w:val="0"/>
          <w:sz w:val="24"/>
          <w:szCs w:val="24"/>
          <w:highlight w:val="white"/>
          <w14:ligatures w14:val="non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Требования к перечню и объему услуг</w:t>
      </w:r>
      <w:r>
        <w:rPr>
          <w:rFonts w:hint="default"/>
          <w:b w:val="0"/>
          <w:bCs w:val="0"/>
          <w:i w:val="0"/>
          <w:sz w:val="24"/>
          <w:szCs w:val="24"/>
          <w:highlight w:val="white"/>
          <w14:ligatures w14:val="none"/>
        </w:rPr>
      </w:r>
      <w:r>
        <w:rPr>
          <w:rFonts w:hint="default"/>
          <w:b w:val="0"/>
          <w:bCs w:val="0"/>
          <w:i w:val="0"/>
          <w:sz w:val="24"/>
          <w:szCs w:val="24"/>
          <w:highlight w:val="white"/>
          <w14:ligatures w14:val="none"/>
        </w:rPr>
      </w:r>
    </w:p>
    <w:p>
      <w:pPr>
        <w:pStyle w:val="986"/>
        <w:numPr>
          <w:ilvl w:val="0"/>
          <w:numId w:val="0"/>
        </w:numPr>
        <w:ind w:left="709" w:right="0" w:firstLine="0"/>
        <w:keepLines/>
        <w:spacing w:before="240"/>
        <w:rPr>
          <w:sz w:val="24"/>
          <w:szCs w:val="24"/>
          <w:highlight w:val="white"/>
        </w:rPr>
      </w:pPr>
      <w:r>
        <w:rPr>
          <w:sz w:val="24"/>
          <w:szCs w:val="24"/>
        </w:rPr>
      </w:r>
      <w:bookmarkStart w:id="7" w:name="_Toc2"/>
      <w:r>
        <w:rPr>
          <w:sz w:val="24"/>
          <w:szCs w:val="24"/>
          <w:highlight w:val="white"/>
        </w:rPr>
        <w:t xml:space="preserve">Таблица 2.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Перечень и объем оказываемых услуг</w:t>
      </w:r>
      <w:r>
        <w:rPr>
          <w:sz w:val="24"/>
          <w:szCs w:val="24"/>
          <w:highlight w:val="white"/>
        </w:rPr>
      </w:r>
      <w:bookmarkEnd w:id="7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1006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953"/>
        <w:gridCol w:w="1559"/>
        <w:gridCol w:w="1984"/>
      </w:tblGrid>
      <w:tr>
        <w:tblPrEx/>
        <w:trPr>
          <w:trHeight w:val="606"/>
        </w:trPr>
        <w:tc>
          <w:tcPr>
            <w:tcW w:w="568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№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jc w:val="center"/>
              <w:keepNext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п/п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Наименование услуг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Единица измерения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Количество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568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1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2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3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4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87"/>
        </w:trPr>
        <w:tc>
          <w:tcPr>
            <w:tcW w:w="568" w:type="dxa"/>
            <w:vMerge w:val="restart"/>
            <w:textDirection w:val="lrTb"/>
            <w:noWrap w:val="false"/>
          </w:tcPr>
          <w:p>
            <w:pPr>
              <w:pStyle w:val="1208"/>
              <w:numPr>
                <w:ilvl w:val="0"/>
                <w:numId w:val="9"/>
              </w:num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95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ОКДП2 33.12.19 Оказание услуг по техническому обслуживанию генераторов ст. №№ 1,3 типа BDAX 7-290 ERJT1 в объеме 30000 часов  </w:t>
            </w:r>
            <w:r>
              <w:rPr>
                <w:sz w:val="24"/>
                <w:szCs w:val="24"/>
                <w:highlight w:val="white"/>
              </w:rPr>
              <w:t xml:space="preserve">СП «ТЭЦ Восточная», г. Владивосток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354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В</w:t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 соответствии с ведомостью объемов работ </w:t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(П</w:t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риложение №1 к настоящим Техническим требованиям (ТТ))</w:t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</w:r>
          </w:p>
        </w:tc>
      </w:tr>
    </w:tbl>
    <w:p>
      <w:pPr>
        <w:shd w:val="nil" w:color="000000"/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pP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</w:p>
    <w:p>
      <w:pPr>
        <w:ind w:left="0" w:right="0" w:firstLine="709"/>
        <w:jc w:val="both"/>
        <w:shd w:val="nil" w:color="auto"/>
        <w:rPr>
          <w:rFonts w:hint="default"/>
          <w:b w:val="0"/>
          <w:bCs w:val="0"/>
          <w:i w:val="0"/>
          <w:sz w:val="24"/>
          <w:szCs w:val="24"/>
          <w:highlight w:val="white"/>
          <w14:ligatures w14:val="none"/>
        </w:rPr>
      </w:pPr>
      <w:r>
        <w:rPr>
          <w:rFonts w:hint="default"/>
          <w:b w:val="0"/>
          <w:bCs w:val="0"/>
          <w:i w:val="0"/>
          <w:iCs w:val="0"/>
          <w:sz w:val="24"/>
          <w:szCs w:val="24"/>
          <w:highlight w:val="white"/>
          <w14:ligatures w14:val="none"/>
        </w:rPr>
      </w:r>
      <w:r>
        <w:rPr>
          <w:rFonts w:hint="default"/>
          <w:b w:val="0"/>
          <w:bCs w:val="0"/>
          <w:i w:val="0"/>
          <w:iCs w:val="0"/>
          <w:sz w:val="24"/>
          <w:szCs w:val="24"/>
          <w:highlight w:val="white"/>
          <w14:ligatures w14:val="none"/>
        </w:rPr>
        <w:t xml:space="preserve">Объем </w:t>
      </w:r>
      <w:r>
        <w:rPr>
          <w:rFonts w:hint="default"/>
          <w:b w:val="0"/>
          <w:bCs w:val="0"/>
          <w:i w:val="0"/>
          <w:iCs w:val="0"/>
          <w:sz w:val="24"/>
          <w:szCs w:val="24"/>
          <w:highlight w:val="white"/>
          <w14:ligatures w14:val="none"/>
        </w:rPr>
        <w:t xml:space="preserve">технического обслуживани</w:t>
      </w:r>
      <w:r>
        <w:rPr>
          <w:rFonts w:hint="default"/>
          <w:b w:val="0"/>
          <w:bCs w:val="0"/>
          <w:i w:val="0"/>
          <w:iCs w:val="0"/>
          <w:sz w:val="24"/>
          <w:szCs w:val="24"/>
          <w:highlight w:val="white"/>
          <w14:ligatures w14:val="none"/>
        </w:rPr>
        <w:t xml:space="preserve">я</w:t>
      </w:r>
      <w:r>
        <w:rPr>
          <w:rFonts w:hint="default"/>
          <w:b w:val="0"/>
          <w:bCs w:val="0"/>
          <w:i w:val="0"/>
          <w:iCs w:val="0"/>
          <w:sz w:val="24"/>
          <w:szCs w:val="24"/>
          <w:highlight w:val="white"/>
          <w14:ligatures w14:val="none"/>
        </w:rPr>
        <w:t xml:space="preserve"> (</w:t>
      </w:r>
      <w:r>
        <w:rPr>
          <w:i w:val="0"/>
          <w:iCs w:val="0"/>
          <w:sz w:val="24"/>
          <w:szCs w:val="24"/>
          <w:highlight w:val="white"/>
        </w:rPr>
        <w:t xml:space="preserve">П</w:t>
      </w:r>
      <w:r>
        <w:rPr>
          <w:i w:val="0"/>
          <w:iCs w:val="0"/>
          <w:sz w:val="24"/>
          <w:szCs w:val="24"/>
          <w:highlight w:val="white"/>
        </w:rPr>
        <w:t xml:space="preserve">риложение №1 к настоящим ТТ</w:t>
      </w:r>
      <w:r>
        <w:rPr>
          <w:i w:val="0"/>
          <w:iCs w:val="0"/>
          <w:sz w:val="24"/>
          <w:szCs w:val="24"/>
          <w:highlight w:val="white"/>
        </w:rPr>
        <w:t xml:space="preserve">)</w:t>
      </w:r>
      <w:r>
        <w:rPr>
          <w:i w:val="0"/>
          <w:iCs w:val="0"/>
          <w:sz w:val="24"/>
          <w:szCs w:val="24"/>
          <w:highlight w:val="white"/>
        </w:rPr>
        <w:t xml:space="preserve"> </w:t>
      </w:r>
      <w:r>
        <w:rPr>
          <w:rFonts w:hint="default"/>
          <w:b w:val="0"/>
          <w:bCs w:val="0"/>
          <w:i w:val="0"/>
          <w:iCs w:val="0"/>
          <w:sz w:val="24"/>
          <w:szCs w:val="24"/>
          <w:highlight w:val="white"/>
          <w14:ligatures w14:val="none"/>
        </w:rPr>
        <w:t xml:space="preserve">соответствует п</w:t>
      </w:r>
      <w:r>
        <w:rPr>
          <w:rFonts w:hint="default"/>
          <w:b w:val="0"/>
          <w:bCs w:val="0"/>
          <w:i w:val="0"/>
          <w:iCs w:val="0"/>
          <w:sz w:val="24"/>
          <w:szCs w:val="24"/>
          <w:highlight w:val="white"/>
          <w14:ligatures w14:val="none"/>
        </w:rPr>
        <w:t xml:space="preserve">еречню </w:t>
      </w:r>
      <w:r>
        <w:rPr>
          <w:rFonts w:hint="default"/>
          <w:b w:val="0"/>
          <w:bCs w:val="0"/>
          <w:i w:val="0"/>
          <w:iCs w:val="0"/>
          <w:sz w:val="24"/>
          <w:szCs w:val="24"/>
          <w:highlight w:val="white"/>
          <w14:ligatures w14:val="none"/>
        </w:rPr>
        <w:t xml:space="preserve">и объемам т</w:t>
      </w:r>
      <w:r>
        <w:rPr>
          <w:rFonts w:hint="default"/>
          <w:b w:val="0"/>
          <w:bCs w:val="0"/>
          <w:i w:val="0"/>
          <w:iCs w:val="0"/>
          <w:sz w:val="24"/>
          <w:szCs w:val="24"/>
          <w:highlight w:val="white"/>
          <w14:ligatures w14:val="none"/>
        </w:rPr>
        <w:t xml:space="preserve">ехнического обслуживания генераторов</w:t>
      </w:r>
      <w:r>
        <w:rPr>
          <w:rFonts w:hint="default"/>
          <w:b w:val="0"/>
          <w:bCs w:val="0"/>
          <w:i w:val="0"/>
          <w:iCs w:val="0"/>
          <w:sz w:val="24"/>
          <w:szCs w:val="24"/>
          <w:highlight w:val="white"/>
          <w14:ligatures w14:val="none"/>
        </w:rPr>
        <w:t xml:space="preserve"> при достижении 30000 часов наработки. </w:t>
      </w:r>
      <w:r>
        <w:rPr>
          <w:rFonts w:hint="default"/>
          <w:b w:val="0"/>
          <w:bCs w:val="0"/>
          <w:i w:val="0"/>
          <w:sz w:val="24"/>
          <w:szCs w:val="24"/>
          <w:highlight w:val="white"/>
          <w14:ligatures w14:val="none"/>
        </w:rPr>
      </w:r>
      <w:r>
        <w:rPr>
          <w:rFonts w:hint="default"/>
          <w:b w:val="0"/>
          <w:bCs w:val="0"/>
          <w:i w:val="0"/>
          <w:sz w:val="24"/>
          <w:szCs w:val="24"/>
          <w:highlight w:val="white"/>
          <w14:ligatures w14:val="none"/>
        </w:rPr>
      </w:r>
    </w:p>
    <w:p>
      <w:pPr>
        <w:ind w:left="0" w:right="0" w:firstLine="709"/>
        <w:jc w:val="both"/>
        <w:shd w:val="nil" w:color="auto"/>
        <w:rPr>
          <w:rFonts w:hint="default"/>
          <w:b w:val="0"/>
          <w:bCs w:val="0"/>
          <w:i w:val="0"/>
          <w:sz w:val="24"/>
          <w:szCs w:val="24"/>
          <w:highlight w:val="white"/>
          <w14:ligatures w14:val="none"/>
        </w:rPr>
      </w:pPr>
      <w:r>
        <w:rPr>
          <w:rFonts w:hint="default"/>
          <w:b w:val="0"/>
          <w:bCs w:val="0"/>
          <w:i w:val="0"/>
          <w:iCs w:val="0"/>
          <w:sz w:val="24"/>
          <w:szCs w:val="24"/>
          <w:highlight w:val="white"/>
          <w14:ligatures w14:val="none"/>
        </w:rPr>
        <w:t xml:space="preserve">Фактическая наработка </w:t>
      </w:r>
      <w:r>
        <w:rPr>
          <w:rFonts w:hint="default"/>
          <w:b w:val="0"/>
          <w:bCs w:val="0"/>
          <w:i w:val="0"/>
          <w:iCs w:val="0"/>
          <w:sz w:val="24"/>
          <w:szCs w:val="24"/>
          <w:highlight w:val="white"/>
          <w14:ligatures w14:val="none"/>
        </w:rPr>
        <w:t xml:space="preserve">генераторов ст. №№ 1,3 типа BDAX 7-290 ERJT1</w:t>
      </w:r>
      <w:r>
        <w:rPr>
          <w:rFonts w:hint="default"/>
          <w:b w:val="0"/>
          <w:bCs w:val="0"/>
          <w:i w:val="0"/>
          <w:iCs w:val="0"/>
          <w:sz w:val="24"/>
          <w:szCs w:val="24"/>
          <w:highlight w:val="white"/>
          <w14:ligatures w14:val="none"/>
        </w:rPr>
        <w:t xml:space="preserve"> составляет 30000 часов.</w:t>
      </w:r>
      <w:r>
        <w:rPr>
          <w:rFonts w:hint="default"/>
          <w:b w:val="0"/>
          <w:bCs w:val="0"/>
          <w:i w:val="0"/>
          <w:sz w:val="24"/>
          <w:szCs w:val="24"/>
          <w:highlight w:val="white"/>
          <w14:ligatures w14:val="none"/>
        </w:rPr>
      </w:r>
      <w:r>
        <w:rPr>
          <w:rFonts w:hint="default"/>
          <w:b w:val="0"/>
          <w:bCs w:val="0"/>
          <w:i w:val="0"/>
          <w:sz w:val="24"/>
          <w:szCs w:val="24"/>
          <w:highlight w:val="white"/>
          <w14:ligatures w14:val="none"/>
        </w:rPr>
      </w:r>
    </w:p>
    <w:p>
      <w:pPr>
        <w:ind w:left="0" w:right="0" w:firstLine="709"/>
        <w:jc w:val="both"/>
        <w:shd w:val="nil" w:color="000000"/>
        <w:rPr>
          <w:rFonts w:hint="default"/>
          <w:b w:val="0"/>
          <w:bCs w:val="0"/>
          <w:i w:val="0"/>
          <w:sz w:val="24"/>
          <w:szCs w:val="24"/>
          <w:highlight w:val="none"/>
          <w14:ligatures w14:val="none"/>
        </w:rPr>
      </w:pPr>
      <w:r>
        <w:rPr>
          <w:rFonts w:hint="default"/>
          <w:b w:val="0"/>
          <w:bCs w:val="0"/>
          <w:i w:val="0"/>
          <w:sz w:val="24"/>
          <w:szCs w:val="24"/>
          <w:highlight w:val="white"/>
          <w14:ligatures w14:val="none"/>
        </w:rPr>
      </w:r>
      <w:r>
        <w:rPr>
          <w:rFonts w:hint="default"/>
          <w:b w:val="0"/>
          <w:bCs w:val="0"/>
          <w:i w:val="0"/>
          <w:sz w:val="24"/>
          <w:szCs w:val="24"/>
          <w:highlight w:val="white"/>
          <w14:ligatures w14:val="none"/>
        </w:rPr>
        <w:t xml:space="preserve">Объемы оказываемых услуг могут быть изменены по согласованию Сторон. Объем услуг при каждой операции технического обслуживания определяется по согласованию Сторон с учетом фактического состояния оборудования, технической документацией, регламентами, в </w:t>
      </w:r>
      <w:r>
        <w:rPr>
          <w:rFonts w:hint="default"/>
          <w:b w:val="0"/>
          <w:bCs w:val="0"/>
          <w:i w:val="0"/>
          <w:sz w:val="24"/>
          <w:szCs w:val="24"/>
          <w:highlight w:val="white"/>
          <w14:ligatures w14:val="none"/>
        </w:rPr>
        <w:t xml:space="preserve">соответствии с действующими инструкциями по эксплуатации и техническому обслуживанию компаний-производителей оборудования.</w:t>
      </w:r>
      <w:r>
        <w:rPr>
          <w:rFonts w:hint="default"/>
          <w:b w:val="0"/>
          <w:bCs w:val="0"/>
          <w:i w:val="0"/>
          <w:sz w:val="24"/>
          <w:szCs w:val="24"/>
          <w:highlight w:val="none"/>
          <w14:ligatures w14:val="none"/>
        </w:rPr>
      </w:r>
      <w:r>
        <w:rPr>
          <w:rFonts w:hint="default"/>
          <w:b w:val="0"/>
          <w:bCs w:val="0"/>
          <w:i w:val="0"/>
          <w:sz w:val="24"/>
          <w:szCs w:val="24"/>
          <w:highlight w:val="none"/>
          <w14:ligatures w14:val="none"/>
        </w:rPr>
      </w:r>
    </w:p>
    <w:p>
      <w:pPr>
        <w:shd w:val="nil" w:color="000000"/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pPr>
      <w:r>
        <w:rPr>
          <w:rFonts w:hint="default"/>
          <w:b/>
          <w:bCs w:val="0"/>
          <w:i w:val="0"/>
          <w:sz w:val="24"/>
          <w:szCs w:val="24"/>
          <w:highlight w:val="none"/>
          <w14:ligatures w14:val="none"/>
        </w:rPr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</w:p>
    <w:p>
      <w:pPr>
        <w:pStyle w:val="1208"/>
        <w:numPr>
          <w:ilvl w:val="2"/>
          <w:numId w:val="22"/>
        </w:numP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pPr>
      <w:r>
        <w:rPr>
          <w:sz w:val="24"/>
          <w:szCs w:val="24"/>
          <w:highlight w:val="white"/>
        </w:rPr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Тр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ебования 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к срокам 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оказания ус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луг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.</w:t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</w:p>
    <w:p>
      <w:pPr>
        <w:pStyle w:val="986"/>
        <w:numPr>
          <w:ilvl w:val="0"/>
          <w:numId w:val="0"/>
        </w:numPr>
        <w:keepLines/>
        <w:spacing w:before="240"/>
        <w:rPr>
          <w:sz w:val="24"/>
          <w:szCs w:val="24"/>
          <w:highlight w:val="white"/>
        </w:rPr>
      </w:pPr>
      <w:r>
        <w:rPr>
          <w:sz w:val="24"/>
          <w:szCs w:val="24"/>
        </w:rPr>
      </w:r>
      <w:bookmarkStart w:id="8" w:name="_Toc3"/>
      <w:r>
        <w:rPr>
          <w:sz w:val="24"/>
          <w:szCs w:val="24"/>
          <w:highlight w:val="white"/>
        </w:rPr>
        <w:t xml:space="preserve">Таблица 3. </w:t>
      </w:r>
      <w:r>
        <w:rPr>
          <w:sz w:val="24"/>
          <w:szCs w:val="24"/>
          <w:highlight w:val="white"/>
        </w:rPr>
        <w:t xml:space="preserve">Требования к срокам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оказания услуг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bookmarkEnd w:id="8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1006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4312"/>
        <w:gridCol w:w="2409"/>
        <w:gridCol w:w="2551"/>
      </w:tblGrid>
      <w:tr>
        <w:tblPrEx/>
        <w:trPr/>
        <w:tc>
          <w:tcPr>
            <w:shd w:val="clear" w:color="auto" w:fill="auto"/>
            <w:tcW w:w="79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№ п/п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431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Наименование  </w:t>
            </w:r>
            <w:r>
              <w:rPr>
                <w:sz w:val="24"/>
                <w:szCs w:val="24"/>
                <w:highlight w:val="white"/>
              </w:rPr>
              <w:t xml:space="preserve">у</w:t>
            </w:r>
            <w:r>
              <w:rPr>
                <w:sz w:val="24"/>
                <w:szCs w:val="24"/>
                <w:highlight w:val="white"/>
              </w:rPr>
              <w:t xml:space="preserve">с</w:t>
            </w:r>
            <w:r>
              <w:rPr>
                <w:sz w:val="24"/>
                <w:szCs w:val="24"/>
                <w:highlight w:val="white"/>
              </w:rPr>
              <w:t xml:space="preserve">л</w:t>
            </w:r>
            <w:r>
              <w:rPr>
                <w:sz w:val="24"/>
                <w:szCs w:val="24"/>
                <w:highlight w:val="white"/>
              </w:rPr>
              <w:t xml:space="preserve">у</w:t>
            </w:r>
            <w:r>
              <w:rPr>
                <w:sz w:val="24"/>
                <w:szCs w:val="24"/>
                <w:highlight w:val="white"/>
              </w:rPr>
              <w:t xml:space="preserve">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Требования к началу срока оказания услуг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Требования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 окончанию срока оказания услуг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auto" w:fill="auto"/>
            <w:tcW w:w="791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1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4312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2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1235"/>
              <w:jc w:val="center"/>
              <w:keepNext w:val="0"/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3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1235"/>
              <w:jc w:val="center"/>
              <w:keepNext w:val="0"/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4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048"/>
        </w:trPr>
        <w:tc>
          <w:tcPr>
            <w:shd w:val="clear" w:color="ffffff" w:fill="ffffff"/>
            <w:tcW w:w="791" w:type="dxa"/>
            <w:vMerge w:val="restart"/>
            <w:textDirection w:val="lrTb"/>
            <w:noWrap w:val="false"/>
          </w:tcPr>
          <w:p>
            <w:pPr>
              <w:pStyle w:val="1208"/>
              <w:numPr>
                <w:ilvl w:val="0"/>
                <w:numId w:val="10"/>
              </w:num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4312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ОКДП2 33.12.19 Оказание услуг по техническому обслуживанию генераторов ст. №№ 1,3 типа BDAX 7-290 ERJT1 в объеме 30000 часов 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СП «ТЭЦ Восточная», г. Владивосток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eastAsia="Calibri"/>
                <w:bCs/>
                <w:sz w:val="24"/>
                <w:szCs w:val="24"/>
                <w:highlight w:val="none"/>
              </w:rPr>
              <w:t xml:space="preserve">с даты </w:t>
            </w:r>
            <w:r>
              <w:rPr>
                <w:rFonts w:eastAsia="Calibri"/>
                <w:bCs/>
                <w:sz w:val="24"/>
                <w:szCs w:val="24"/>
                <w:highlight w:val="none"/>
              </w:rPr>
              <w:t xml:space="preserve">заключения </w:t>
            </w:r>
            <w:r>
              <w:rPr>
                <w:rFonts w:eastAsia="Calibri"/>
                <w:bCs/>
                <w:sz w:val="24"/>
                <w:szCs w:val="24"/>
                <w:highlight w:val="none"/>
              </w:rPr>
              <w:t xml:space="preserve">договора</w:t>
            </w:r>
            <w:r>
              <w:rPr>
                <w:rFonts w:eastAsia="Calibri"/>
                <w:sz w:val="24"/>
                <w:szCs w:val="24"/>
                <w:highlight w:val="white"/>
                <w14:ligatures w14:val="none"/>
              </w:rPr>
            </w:r>
            <w:r>
              <w:rPr>
                <w:rFonts w:eastAsia="Calibri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  <w:t xml:space="preserve"> течение 16 месяцев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  <w:t xml:space="preserve">с даты заключения договора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ind w:left="0" w:right="0" w:firstLine="709"/>
        <w:jc w:val="both"/>
        <w:rPr>
          <w:sz w:val="24"/>
          <w:szCs w:val="24"/>
        </w:rPr>
      </w:pPr>
      <w:r>
        <w:rPr>
          <w:b w:val="0"/>
          <w:bCs w:val="0"/>
          <w:sz w:val="24"/>
          <w:szCs w:val="24"/>
          <w:highlight w:val="white"/>
          <w:lang w:val="ru-RU"/>
        </w:rPr>
      </w:r>
      <w:r>
        <w:rPr>
          <w:b w:val="0"/>
          <w:bCs w:val="0"/>
          <w:sz w:val="24"/>
          <w:szCs w:val="24"/>
          <w:highlight w:val="white"/>
          <w:lang w:val="ru-RU"/>
        </w:rPr>
        <w:t xml:space="preserve">Дата начала оказания услуг для каждой единицы оборудования определяется Заказчиком. Срок их выполнения определяется по согласованию с Заказчиком</w:t>
      </w:r>
      <w:r>
        <w:rPr>
          <w:b w:val="0"/>
          <w:bCs w:val="0"/>
          <w:sz w:val="24"/>
          <w:szCs w:val="24"/>
          <w:highlight w:val="white"/>
          <w:lang w:val="ru-RU"/>
        </w:rPr>
        <w:t xml:space="preserve">, </w:t>
      </w:r>
      <w:r>
        <w:rPr>
          <w:b w:val="0"/>
          <w:bCs w:val="0"/>
          <w:sz w:val="24"/>
          <w:szCs w:val="24"/>
          <w:highlight w:val="white"/>
          <w:lang w:val="ru-RU"/>
        </w:rPr>
        <w:t xml:space="preserve">в соответствии с г</w:t>
      </w:r>
      <w:r>
        <w:rPr>
          <w:b w:val="0"/>
          <w:bCs w:val="0"/>
          <w:sz w:val="24"/>
          <w:szCs w:val="24"/>
          <w:highlight w:val="white"/>
          <w:lang w:val="ru-RU"/>
        </w:rPr>
        <w:t xml:space="preserve">рафиком оказания/ финансирования Услуг</w:t>
      </w:r>
      <w:r>
        <w:rPr>
          <w:b w:val="0"/>
          <w:bCs w:val="0"/>
          <w:sz w:val="24"/>
          <w:szCs w:val="24"/>
          <w:highlight w:val="white"/>
          <w:lang w:val="ru-RU"/>
        </w:rPr>
        <w:t xml:space="preserve"> (</w:t>
      </w:r>
      <w:r>
        <w:rPr>
          <w:sz w:val="24"/>
          <w:szCs w:val="24"/>
          <w:highlight w:val="white"/>
        </w:rPr>
        <w:t xml:space="preserve">Приложение № 7 к Проекту договора, который является приложением </w:t>
      </w:r>
      <w:r>
        <w:rPr>
          <w:sz w:val="24"/>
          <w:szCs w:val="24"/>
          <w:highlight w:val="white"/>
        </w:rPr>
        <w:t xml:space="preserve">к Документации о закупке (ДоЗ)</w:t>
      </w:r>
      <w:r>
        <w:rPr>
          <w:b w:val="0"/>
          <w:bCs w:val="0"/>
          <w:sz w:val="24"/>
          <w:szCs w:val="24"/>
          <w:highlight w:val="white"/>
          <w:lang w:val="ru-RU"/>
        </w:rPr>
        <w:t xml:space="preserve">). </w:t>
      </w:r>
      <w:r>
        <w:rPr>
          <w:b w:val="0"/>
          <w:bCs w:val="0"/>
          <w:sz w:val="24"/>
          <w:szCs w:val="24"/>
          <w:highlight w:val="white"/>
          <w:lang w:val="ru-RU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rPr>
          <w:sz w:val="24"/>
          <w:szCs w:val="24"/>
          <w:highlight w:val="white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850" w:right="850" w:bottom="397" w:left="1417" w:header="680" w:footer="737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08"/>
        <w:numPr>
          <w:ilvl w:val="1"/>
          <w:numId w:val="22"/>
        </w:numP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pP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Тре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бов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ания 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к качеству услуг</w:t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</w:p>
    <w:p>
      <w:pPr>
        <w:pStyle w:val="986"/>
        <w:numPr>
          <w:ilvl w:val="0"/>
          <w:numId w:val="0"/>
        </w:numPr>
        <w:ind w:left="1417" w:firstLine="0"/>
        <w:keepLines/>
        <w:spacing w:before="240"/>
        <w:rPr>
          <w:sz w:val="24"/>
          <w:szCs w:val="24"/>
          <w:highlight w:val="white"/>
        </w:rPr>
      </w:pPr>
      <w:r>
        <w:rPr>
          <w:sz w:val="24"/>
          <w:szCs w:val="24"/>
        </w:rPr>
      </w:r>
      <w:bookmarkStart w:id="9" w:name="_Toc4"/>
      <w:r>
        <w:rPr>
          <w:sz w:val="24"/>
          <w:szCs w:val="24"/>
          <w:highlight w:val="white"/>
        </w:rPr>
        <w:t xml:space="preserve">Таблица 4. Требования к оказанию 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услуг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bookmarkEnd w:id="9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both"/>
        <w:tabs>
          <w:tab w:val="left" w:pos="321" w:leader="none"/>
        </w:tabs>
        <w:rPr>
          <w:sz w:val="24"/>
          <w:szCs w:val="24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  <w:t xml:space="preserve">Наименование услуг </w:t>
      </w:r>
      <w:r>
        <w:rPr>
          <w:b/>
          <w:bCs/>
          <w:sz w:val="24"/>
          <w:szCs w:val="24"/>
          <w:highlight w:val="white"/>
        </w:rPr>
        <w:t xml:space="preserve">(позиция № 1 Таблицы 2): </w:t>
      </w:r>
      <w:r>
        <w:rPr>
          <w:b w:val="0"/>
          <w:bCs w:val="0"/>
          <w:sz w:val="24"/>
          <w:szCs w:val="24"/>
          <w:highlight w:val="white"/>
        </w:rPr>
        <w:t xml:space="preserve">ОКДП2 33.12.19 Оказание услуг по техническому обслуживанию генераторов ст. №№ 1,3 типа BDAX 7-290 ERJT1 в объеме 30000 часов  </w:t>
      </w:r>
      <w:r>
        <w:rPr>
          <w:b w:val="0"/>
          <w:bCs w:val="0"/>
          <w:sz w:val="24"/>
          <w:szCs w:val="24"/>
          <w:highlight w:val="white"/>
        </w:rPr>
        <w:t xml:space="preserve">СП «ТЭЦ Восточная», г. Владивосток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321" w:leader="none"/>
        </w:tabs>
        <w:rPr>
          <w:rStyle w:val="1237"/>
          <w:b w:val="0"/>
          <w:bCs w:val="0"/>
          <w:i w:val="0"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rStyle w:val="1237"/>
          <w:b w:val="0"/>
          <w:bCs w:val="0"/>
          <w:i w:val="0"/>
          <w:sz w:val="24"/>
          <w:szCs w:val="24"/>
          <w:highlight w:val="white"/>
        </w:rPr>
      </w:r>
      <w:r>
        <w:rPr>
          <w:rStyle w:val="1237"/>
          <w:b w:val="0"/>
          <w:bCs w:val="0"/>
          <w:i w:val="0"/>
          <w:sz w:val="24"/>
          <w:szCs w:val="24"/>
          <w:highlight w:val="white"/>
        </w:rPr>
      </w:r>
    </w:p>
    <w:tbl>
      <w:tblPr>
        <w:tblStyle w:val="1165"/>
        <w:tblW w:w="15258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1173"/>
        <w:gridCol w:w="2223"/>
        <w:gridCol w:w="1111"/>
        <w:gridCol w:w="3122"/>
        <w:gridCol w:w="3184"/>
        <w:gridCol w:w="2222"/>
        <w:gridCol w:w="2223"/>
      </w:tblGrid>
      <w:tr>
        <w:tblPrEx/>
        <w:trPr/>
        <w:tc>
          <w:tcPr>
            <w:tcW w:w="1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п/п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630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Требование заказчика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44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Способ под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тверждения участником соответствия требованиям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73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333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6306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2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Согласие с требованием/ указание характеристик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57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630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Требования к оказанию услуг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  <w:t xml:space="preserve">1.1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Общие требования к оказанию услуг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27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1.1.1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334" w:type="dxa"/>
            <w:vAlign w:val="center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П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ри оказа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нии услуг должны соблюдаться требования следу</w:t>
            </w:r>
            <w:r>
              <w:rPr>
                <w:color w:val="000000" w:themeColor="text1"/>
                <w:sz w:val="24"/>
                <w:szCs w:val="24"/>
              </w:rPr>
              <w:t xml:space="preserve">ющих нормативных документов: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spacing w:before="60"/>
              <w:widowControl w:val="off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W w:w="6306" w:type="dxa"/>
            <w:vAlign w:val="center"/>
            <w:textDirection w:val="lrTb"/>
            <w:noWrap w:val="false"/>
          </w:tcPr>
          <w:p>
            <w:pPr>
              <w:pStyle w:val="1208"/>
              <w:numPr>
                <w:ilvl w:val="0"/>
                <w:numId w:val="75"/>
              </w:numPr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Федеральный закон «О промышленной безопасности опасных производственных объектов» № 116-ФЗ от 21 июля 1997 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208"/>
              <w:numPr>
                <w:ilvl w:val="0"/>
                <w:numId w:val="75"/>
              </w:numPr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Правила технической эксплуатации электрических станций и сетей Российской Федерации    Приложение № 1 к приказу Минэнерго России от 4 октября 2022 года № 1070.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208"/>
              <w:numPr>
                <w:ilvl w:val="0"/>
                <w:numId w:val="75"/>
              </w:numPr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РД 34.45-51.300–97 «Объём и нормы испытаний электрооборудования. 6-е издание с изменениями и дополнениями по состоянию на 01.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.2006»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208"/>
              <w:numPr>
                <w:ilvl w:val="0"/>
                <w:numId w:val="75"/>
              </w:numPr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ГОСТ 8865-93 (МЭК 85-84) Системы электрической изоляции. Оценка нагревостойкости и классификации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208"/>
              <w:numPr>
                <w:ilvl w:val="0"/>
                <w:numId w:val="75"/>
              </w:numPr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СТО 34.01-23.1-001-2017 «Объем и Нормы испытаний электрооборудования».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208"/>
              <w:numPr>
                <w:ilvl w:val="0"/>
                <w:numId w:val="75"/>
              </w:numPr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 ОСТ 34-38-445-87. Система технического обслуживания и ремонта оборудования электростанций. Комплектность технологических документов.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208"/>
              <w:numPr>
                <w:ilvl w:val="0"/>
                <w:numId w:val="75"/>
              </w:numPr>
              <w:ind w:right="0"/>
              <w:jc w:val="both"/>
              <w:spacing w:line="240" w:lineRule="auto"/>
              <w:shd w:val="clear" w:color="ffffff" w:themeColor="background1" w:fill="ffffff" w:themeFill="background1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 Технические условия, технологические карты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208"/>
              <w:numPr>
                <w:ilvl w:val="0"/>
                <w:numId w:val="75"/>
              </w:numPr>
              <w:ind w:right="0"/>
              <w:jc w:val="both"/>
              <w:spacing w:line="240" w:lineRule="auto"/>
              <w:shd w:val="clear" w:color="ffffff" w:themeColor="background1" w:fill="ffffff" w:themeFill="background1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 РД 34.03.201-97 Правила техники безопасности при эксплуатации тепломеханического оборудования электростанций и тепловых сетей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208"/>
              <w:numPr>
                <w:ilvl w:val="0"/>
                <w:numId w:val="75"/>
              </w:numPr>
              <w:ind w:right="0"/>
              <w:jc w:val="both"/>
              <w:spacing w:line="240" w:lineRule="auto"/>
              <w:shd w:val="clear" w:color="ffffff" w:themeColor="background1" w:fill="ffffff" w:themeFill="background1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Правил по охране труда при эксплуатации электроустановок, утвержденных приказом Минтруда России от 15.12.2020 года №903н.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208"/>
              <w:numPr>
                <w:ilvl w:val="0"/>
                <w:numId w:val="75"/>
              </w:numPr>
              <w:ind w:right="0"/>
              <w:jc w:val="both"/>
              <w:spacing w:line="240" w:lineRule="auto"/>
              <w:shd w:val="clear" w:color="ffffff" w:themeColor="background1" w:fill="ffffff" w:themeFill="background1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Правил по охране труда при погрузочно-разгрузочных работах и размещении грузов, утв. приказом Минтруда России от 28.10.2020 №753н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208"/>
              <w:numPr>
                <w:ilvl w:val="0"/>
                <w:numId w:val="75"/>
              </w:numPr>
              <w:ind w:right="0"/>
              <w:jc w:val="both"/>
              <w:spacing w:line="240" w:lineRule="auto"/>
              <w:shd w:val="clear" w:color="ffffff" w:themeColor="background1" w:fill="ffffff" w:themeFill="background1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Правил по охране труда при работе с инструментом и приспособлениями, утв. приказом Минтруда России от 27.11.2020 №835н.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208"/>
              <w:numPr>
                <w:ilvl w:val="0"/>
                <w:numId w:val="75"/>
              </w:numPr>
              <w:ind w:right="0"/>
              <w:jc w:val="both"/>
              <w:spacing w:line="240" w:lineRule="auto"/>
              <w:shd w:val="clear" w:color="ffffff" w:themeColor="background1" w:fill="ffffff" w:themeFill="background1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РД 34.03.284-96 Инструкции по организации и производству работ повышенной опасности.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208"/>
              <w:numPr>
                <w:ilvl w:val="0"/>
                <w:numId w:val="75"/>
              </w:numPr>
              <w:ind w:right="0"/>
              <w:jc w:val="both"/>
              <w:spacing w:line="240" w:lineRule="auto"/>
              <w:shd w:val="clear" w:color="ffffff" w:themeColor="background1" w:fill="ffffff" w:themeFill="background1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Производственные инструкции 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проекты производства работ.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208"/>
              <w:numPr>
                <w:ilvl w:val="0"/>
                <w:numId w:val="75"/>
              </w:numPr>
              <w:ind w:right="0"/>
              <w:jc w:val="both"/>
              <w:spacing w:line="240" w:lineRule="auto"/>
              <w:shd w:val="clear" w:color="ffffff" w:themeColor="background1" w:fill="ffffff" w:themeFill="background1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Правил противопожарного режима в Российской Федерации, утвержденных постановлением Правительства Российской Федерации от 16.09.2020 №1479.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208"/>
              <w:numPr>
                <w:ilvl w:val="0"/>
                <w:numId w:val="75"/>
              </w:numPr>
              <w:contextualSpacing w:val="0"/>
              <w:ind w:right="0"/>
              <w:jc w:val="both"/>
              <w:spacing w:line="240" w:lineRule="auto"/>
              <w:shd w:val="clear" w:color="ffffff" w:themeColor="background1" w:fill="ffffff" w:themeFill="background1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СО 34.03.301-2000 Правила пожарной безопасности для энергетических предприятий (утв. РАО "ЕЭС России" 09.03.2000)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208"/>
              <w:numPr>
                <w:ilvl w:val="0"/>
                <w:numId w:val="75"/>
              </w:numPr>
              <w:contextualSpacing w:val="0"/>
              <w:ind w:right="0"/>
              <w:jc w:val="both"/>
              <w:spacing w:line="240" w:lineRule="auto"/>
              <w:shd w:val="clear" w:color="ffffff" w:themeColor="background1" w:fill="ffffff" w:themeFill="background1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нструкции завода-изгот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овителя оборудования.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208"/>
              <w:numPr>
                <w:ilvl w:val="0"/>
                <w:numId w:val="75"/>
              </w:numPr>
              <w:contextualSpacing w:val="0"/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Руководство по эксплуатации и техническому обслуживанию генератора BDAX7-290ERJT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урбогенератора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LM 6000 PF.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W w:w="2222" w:type="dxa"/>
            <w:textDirection w:val="lrTb"/>
            <w:noWrap w:val="false"/>
          </w:tcPr>
          <w:p>
            <w:pPr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23" w:type="dxa"/>
            <w:textDirection w:val="lrTb"/>
            <w:noWrap w:val="false"/>
          </w:tcPr>
          <w:p>
            <w:pPr>
              <w:pStyle w:val="1232"/>
              <w:keepNext w:val="0"/>
              <w:spacing w:before="0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sz w:val="24"/>
                <w:szCs w:val="24"/>
              </w:rPr>
            </w:r>
            <w:bookmarkStart w:id="10" w:name="_Toc5"/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bookmarkEnd w:id="10"/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73" w:type="dxa"/>
            <w:vAlign w:val="center"/>
            <w:textDirection w:val="lrTb"/>
            <w:noWrap w:val="false"/>
          </w:tcPr>
          <w:p>
            <w:pPr>
              <w:ind w:left="25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1.2.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Требования к организации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азания услуг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33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1.2.1.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Требование к организации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азания услуг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W w:w="6306" w:type="dxa"/>
            <w:textDirection w:val="lrTb"/>
            <w:noWrap w:val="false"/>
          </w:tcPr>
          <w:p>
            <w:pPr>
              <w:contextualSpacing w:val="0"/>
              <w:ind w:right="0"/>
              <w:jc w:val="both"/>
              <w:spacing w:line="240" w:lineRule="auto"/>
              <w:shd w:val="clear" w:color="ffffff" w:themeColor="background1" w:fill="ffffff" w:themeFill="background1"/>
              <w:tabs>
                <w:tab w:val="left" w:pos="8280" w:leader="none"/>
              </w:tabs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ачала ок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азания Услуг Исп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олнитель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: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208"/>
              <w:numPr>
                <w:ilvl w:val="1"/>
                <w:numId w:val="49"/>
              </w:numPr>
              <w:contextualSpacing w:val="0"/>
              <w:ind w:left="0" w:right="0" w:firstLine="283"/>
              <w:jc w:val="both"/>
              <w:spacing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Разрабатывает и согласовывает с Заказчиком график оказания услуг.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208"/>
              <w:numPr>
                <w:ilvl w:val="1"/>
                <w:numId w:val="49"/>
              </w:numPr>
              <w:contextualSpacing w:val="0"/>
              <w:ind w:left="0" w:right="0" w:firstLine="283"/>
              <w:jc w:val="both"/>
              <w:spacing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пределяет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состав участков и н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азначает руководителей оказываемых услуг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;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208"/>
              <w:numPr>
                <w:ilvl w:val="1"/>
                <w:numId w:val="49"/>
              </w:numPr>
              <w:contextualSpacing w:val="0"/>
              <w:ind w:left="0" w:right="0" w:firstLine="283"/>
              <w:jc w:val="both"/>
              <w:spacing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Назна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чает лиц, ответственных за соблюдение норм и правил в области охраны труда, электробезопасности, пожарной и промышленной безопасности и материально–техническое обеспечение.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pStyle w:val="1232"/>
              <w:keepNext w:val="0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sz w:val="24"/>
                <w:szCs w:val="24"/>
              </w:rPr>
            </w:r>
            <w:bookmarkStart w:id="11" w:name="_Toc6"/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bookmarkEnd w:id="11"/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33"/>
        </w:trPr>
        <w:tc>
          <w:tcPr>
            <w:tcW w:w="1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1.2.2.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vAlign w:val="center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Организационно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-технические мероприятия по допуску персонала Исполнителя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6306" w:type="dxa"/>
            <w:vMerge w:val="restart"/>
            <w:textDirection w:val="lrTb"/>
            <w:noWrap w:val="false"/>
          </w:tcPr>
          <w:p>
            <w:pPr>
              <w:pStyle w:val="1208"/>
              <w:numPr>
                <w:ilvl w:val="0"/>
                <w:numId w:val="33"/>
              </w:numPr>
              <w:ind w:left="0" w:right="0" w:firstLine="3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Оказание услуг осуществляется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территории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действующе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го опасного промышленного объекта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с соблюдением требования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установленными: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208"/>
              <w:numPr>
                <w:ilvl w:val="0"/>
                <w:numId w:val="77"/>
              </w:numPr>
              <w:ind w:left="0" w:firstLine="360"/>
              <w:jc w:val="both"/>
              <w:shd w:val="clear" w:color="ffffff" w:themeColor="background1" w:fill="ffffff" w:themeFill="background1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П</w:t>
            </w:r>
            <w:r>
              <w:rPr>
                <w:sz w:val="24"/>
                <w:szCs w:val="24"/>
                <w:highlight w:val="white"/>
              </w:rPr>
              <w:t xml:space="preserve">оложением о допуске персонала подрядн</w:t>
            </w:r>
            <w:r>
              <w:rPr>
                <w:sz w:val="24"/>
                <w:szCs w:val="24"/>
                <w:highlight w:val="white"/>
              </w:rPr>
              <w:t xml:space="preserve">ых организаций к выполнению работ на объектах АО «ДГК» №22.1-504-2025 (утв. приказом АО «ДГК» №П-ДГК/795 от 25.09.2025г.). Приложение № 3 к настоящим ТТ.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208"/>
              <w:numPr>
                <w:ilvl w:val="0"/>
                <w:numId w:val="62"/>
              </w:numPr>
              <w:ind w:left="0" w:right="0" w:firstLine="349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Инструкцией о пропускном и внутр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иобъектовом режимах на охраняемой территории СП «ТЭЦ «Восточная» АО «ДГК», утверждена приказом СП «ТЭЦ «Восточная» от 24.01.2025 № 26А.</w:t>
            </w:r>
            <w:r>
              <w:rPr>
                <w:sz w:val="24"/>
                <w:szCs w:val="24"/>
                <w:highlight w:val="white"/>
              </w:rPr>
              <w:t xml:space="preserve"> Приложение № 3 к настоящим ТТ.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208"/>
              <w:numPr>
                <w:ilvl w:val="0"/>
                <w:numId w:val="33"/>
              </w:numPr>
              <w:ind w:left="0" w:right="0" w:firstLine="3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Подготовку рабочих мест и допуск к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оказанию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услуг выполняет персонал Заказчика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  <w:p>
            <w:pP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vMerge w:val="restart"/>
            <w:textDirection w:val="lrTb"/>
            <w:noWrap w:val="false"/>
          </w:tcPr>
          <w:p>
            <w:pPr>
              <w:pStyle w:val="1232"/>
              <w:keepNext w:val="0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33"/>
        </w:trPr>
        <w:tc>
          <w:tcPr>
            <w:tcW w:w="1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1.2.3.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vAlign w:val="center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commentRangeStart w:id="0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Обязательства Исполнителя по оповещению Заказчика о событиях в области информационной безопасности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commentRangeEnd w:id="0"/>
            <w:r>
              <w:commentReference w:id="0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W w:w="6306" w:type="dxa"/>
            <w:vMerge w:val="restart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Исполнитель обязан сообщать Заказчику информацию и рекомендации по действиям в следующих ситуациях: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1.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ab/>
              <w:t xml:space="preserve">В случае увольнения сотрудника Исполнителя, имеющего доступ к информационным системам Заказчика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–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не менее чем за 5 рабочих дней до наступления даты увольнения сотрудника, для обеспечения возможности своевременной блокировки учетных записей сотрудника.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2.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ab/>
              <w:t xml:space="preserve">В случае наступлени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я или возникновения подозрения о возможности наступления недопустимого события информационной безопасности в инфраструктуре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Исполнителя – незамедлительно, с целью ограничения удаленного доступа в сеть Заказчика.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3.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ab/>
              <w:t xml:space="preserve">В случае получения в ходе мониторинга работы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КСУИБ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информации о наступлении или возникновения подозрения о возможности наступления недопустимого события информационной безопасност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и в инфраструктуре Заказчика – незамедлительно.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pStyle w:val="1208"/>
              <w:ind w:left="0"/>
              <w:jc w:val="both"/>
              <w:spacing w:after="60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Требования информа</w:t>
            </w:r>
            <w:r>
              <w:rPr>
                <w:iCs/>
                <w:sz w:val="24"/>
                <w:szCs w:val="24"/>
              </w:rPr>
              <w:t xml:space="preserve">ционной безопасности должны обеспечиваться в течении всего срока оказания услуг. </w:t>
            </w:r>
            <w:r>
              <w:rPr>
                <w:rFonts w:eastAsia="Times New Roman"/>
                <w:iCs/>
                <w:sz w:val="24"/>
                <w:szCs w:val="24"/>
              </w:rPr>
            </w:r>
            <w:r>
              <w:rPr>
                <w:rFonts w:eastAsia="Times New Roman"/>
                <w:iCs/>
                <w:sz w:val="24"/>
                <w:szCs w:val="24"/>
              </w:rPr>
            </w:r>
          </w:p>
        </w:tc>
        <w:tc>
          <w:tcPr>
            <w:tcW w:w="2222" w:type="dxa"/>
            <w:vMerge w:val="restart"/>
            <w:textDirection w:val="lrTb"/>
            <w:noWrap w:val="false"/>
          </w:tcPr>
          <w:p>
            <w:pPr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W w:w="2223" w:type="dxa"/>
            <w:vMerge w:val="restart"/>
            <w:textDirection w:val="lrTb"/>
            <w:noWrap w:val="false"/>
          </w:tcPr>
          <w:p>
            <w:pPr>
              <w:pStyle w:val="1232"/>
              <w:keepNext w:val="0"/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7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  <w:t xml:space="preserve">1.3.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textDirection w:val="lrTb"/>
            <w:noWrap w:val="false"/>
          </w:tcPr>
          <w:p>
            <w:pPr>
              <w:spacing w:before="60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Требования к применяемым при оказании услуг к оборудованию, материалам, технологиям, программно-аппаратным средствам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7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  <w:t xml:space="preserve">1.3.1.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vAlign w:val="center"/>
            <w:textDirection w:val="lrTb"/>
            <w:noWrap w:val="false"/>
          </w:tcPr>
          <w:p>
            <w:pPr>
              <w:contextualSpacing w:val="0"/>
              <w:spacing w:before="0" w:before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Требования к используемым запасным частям и материалам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gridSpan w:val="2"/>
            <w:tcW w:w="6306" w:type="dxa"/>
            <w:textDirection w:val="lrTb"/>
            <w:noWrap w:val="false"/>
          </w:tcPr>
          <w:p>
            <w:pPr>
              <w:pStyle w:val="1208"/>
              <w:numPr>
                <w:ilvl w:val="0"/>
                <w:numId w:val="35"/>
              </w:numPr>
              <w:ind w:left="0" w:firstLine="0"/>
              <w:jc w:val="both"/>
              <w:spacing w:line="276" w:lineRule="auto"/>
              <w:tabs>
                <w:tab w:val="left" w:pos="27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Доставка  материалов Исполнителем на объект осуществляется заранее, минимум за 10 календарных дней до начала оказания услуг. По согласованию с Заказчиком возможна доставка полного объёма расходных материа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лов на объект.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208"/>
              <w:numPr>
                <w:ilvl w:val="0"/>
                <w:numId w:val="35"/>
              </w:numPr>
              <w:ind w:left="0" w:firstLine="0"/>
              <w:jc w:val="both"/>
              <w:spacing w:line="276" w:lineRule="auto"/>
              <w:tabs>
                <w:tab w:val="left" w:pos="27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обеспечивает оказание Услуг  необходимыми для этого материалами и запасными частями.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208"/>
              <w:numPr>
                <w:ilvl w:val="0"/>
                <w:numId w:val="35"/>
              </w:numPr>
              <w:ind w:left="0" w:firstLine="0"/>
              <w:jc w:val="both"/>
              <w:spacing w:line="276" w:lineRule="auto"/>
              <w:tabs>
                <w:tab w:val="left" w:pos="27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Материалы, используемые при оказании услуг, должны иметь соответствующие сертификаты и другие документы, удостоверяющие их качества с переводом на русский язык.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pStyle w:val="1232"/>
              <w:keepNext w:val="0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sz w:val="24"/>
                <w:szCs w:val="24"/>
              </w:rPr>
            </w:r>
            <w:bookmarkStart w:id="12" w:name="_Toc7"/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bookmarkEnd w:id="12"/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  <w:p>
            <w:pPr>
              <w:pStyle w:val="1232"/>
              <w:keepNext w:val="0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73" w:type="dxa"/>
            <w:vAlign w:val="center"/>
            <w:textDirection w:val="lrTb"/>
            <w:noWrap w:val="false"/>
          </w:tcPr>
          <w:p>
            <w:pPr>
              <w:ind w:left="25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1.4.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textDirection w:val="lrTb"/>
            <w:noWrap w:val="false"/>
          </w:tcPr>
          <w:p>
            <w:pPr>
              <w:spacing w:before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Требования к контролю качества оказания услуг и материалов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27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pStyle w:val="1208"/>
              <w:ind w:left="0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1.4.1.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vAlign w:val="center"/>
            <w:textDirection w:val="lrTb"/>
            <w:noWrap w:val="false"/>
          </w:tcPr>
          <w:p>
            <w:pPr>
              <w:contextualSpacing w:val="0"/>
              <w:spacing w:before="0" w:before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Контроль качества используемых запасных частей и материалов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gridSpan w:val="2"/>
            <w:tcW w:w="6306" w:type="dxa"/>
            <w:textDirection w:val="lrTb"/>
            <w:noWrap w:val="false"/>
          </w:tcPr>
          <w:p>
            <w:pPr>
              <w:pStyle w:val="1208"/>
              <w:numPr>
                <w:ilvl w:val="0"/>
                <w:numId w:val="71"/>
              </w:numPr>
              <w:ind w:left="0" w:firstLine="0"/>
              <w:jc w:val="both"/>
              <w:spacing w:line="276" w:lineRule="auto"/>
              <w:tabs>
                <w:tab w:val="left" w:pos="2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Представитель Исполнителя, совместно с Заказчиком осуществляет входной контроль качества применяемых материалов.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208"/>
              <w:numPr>
                <w:ilvl w:val="0"/>
                <w:numId w:val="71"/>
              </w:numPr>
              <w:ind w:left="0" w:firstLine="0"/>
              <w:jc w:val="both"/>
              <w:spacing w:line="276" w:lineRule="auto"/>
              <w:tabs>
                <w:tab w:val="left" w:pos="27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атериалы Исполнителя должны быть новыми и не использоваться ранее, без повреждений.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Согласие с тре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бованиями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232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11"/>
        </w:trPr>
        <w:tc>
          <w:tcPr>
            <w:tcW w:w="1173" w:type="dxa"/>
            <w:vAlign w:val="center"/>
            <w:vMerge w:val="restart"/>
            <w:textDirection w:val="lrTb"/>
            <w:noWrap w:val="false"/>
          </w:tcPr>
          <w:p>
            <w:pPr>
              <w:pStyle w:val="1208"/>
              <w:ind w:left="0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1.4.2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spacing w:before="0" w:before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Контроль качества оказания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у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у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г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gridSpan w:val="2"/>
            <w:tcW w:w="6306" w:type="dxa"/>
            <w:vMerge w:val="restart"/>
            <w:textDirection w:val="lrTb"/>
            <w:noWrap w:val="false"/>
          </w:tcPr>
          <w:p>
            <w:pPr>
              <w:pStyle w:val="1208"/>
              <w:numPr>
                <w:ilvl w:val="0"/>
                <w:numId w:val="37"/>
              </w:numPr>
              <w:ind w:left="0" w:right="0" w:firstLine="0"/>
              <w:jc w:val="both"/>
              <w:spacing w:line="276" w:lineRule="auto"/>
              <w:tabs>
                <w:tab w:val="left" w:pos="27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оответствии с законом № 184-ФЗ «О техническом регулировании» Исполнитель принимает на себя добровольное обязательство о соблюдении требований правил, технических условий, ГОСТ и других нормативных технических документов, действующих на момент заключения до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говора и добровольное обязательство об оказании услуг с качеством.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208"/>
              <w:numPr>
                <w:ilvl w:val="0"/>
                <w:numId w:val="37"/>
              </w:numPr>
              <w:ind w:left="0" w:right="0" w:firstLine="0"/>
              <w:jc w:val="both"/>
              <w:spacing w:line="276" w:lineRule="auto"/>
              <w:tabs>
                <w:tab w:val="left" w:pos="27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 Конт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роль за ходом и качеством оказания услуг осуществляется как Заказчиком, так и Исполнителем.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208"/>
              <w:numPr>
                <w:ilvl w:val="0"/>
                <w:numId w:val="37"/>
              </w:numPr>
              <w:ind w:left="0" w:right="0" w:firstLine="0"/>
              <w:jc w:val="both"/>
              <w:spacing w:line="276" w:lineRule="auto"/>
              <w:tabs>
                <w:tab w:val="left" w:pos="27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 Оценка качества оборудования, прошедшее техническое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обслуживани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 характеризуется его техническим состоянием и соответствием его требованиям нормативной документации, которое устанавливается на основании результатов оказанных услуг. Оценка качества оказанных услуг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 ведется в соответствии с «Правилами организации технического обслуживания и ремонта объектов электроэнергетики» (приказ Минэнерго России от 25.10.2017 №1013).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4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pStyle w:val="1208"/>
              <w:ind w:left="25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1.5.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Требования к персоналу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894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pStyle w:val="1208"/>
              <w:ind w:left="25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1.5.1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Квалификация персонала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Исполнителя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, привлекаемого к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г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1208"/>
              <w:ind w:left="0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gridSpan w:val="2"/>
            <w:tcW w:w="6306" w:type="dxa"/>
            <w:textDirection w:val="lrTb"/>
            <w:noWrap w:val="false"/>
          </w:tcPr>
          <w:p>
            <w:pPr>
              <w:ind w:left="0" w:right="0" w:firstLine="0"/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Исполнитель должен оказывать услуги квалифицированными специалистами рабочих специальностей и ИТР, квалификация должна соответствовать видам оказываемых услуг в соответствии с ведомостью объемов работ: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208"/>
              <w:numPr>
                <w:ilvl w:val="0"/>
                <w:numId w:val="72"/>
              </w:numPr>
              <w:ind w:right="0"/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иметь соответствующую аттестацию согласно «Правил по охране труда при эксплуатации электроустановок» Минтруда РФ от 15 декабря 2020 года № 903н: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квалификационн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14:ligatures w14:val="none"/>
              </w:rPr>
              <w:t xml:space="preserve"> удостоверения установленного образца с соответствующей группой по электробезопасности: у ответственного руководителя оказываемых услуг/  производителя работ - не менее IV группы по электробезопасности, 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14:ligatures w14:val="none"/>
              </w:rPr>
              <w:t xml:space="preserve"> членов бригады - не менее III группы по электробезопасности.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pStyle w:val="1208"/>
              <w:numPr>
                <w:ilvl w:val="0"/>
                <w:numId w:val="72"/>
              </w:numPr>
              <w:ind w:right="0"/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иметь соответствующую аттестацию согласно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«Правил по охране труда при работе с инструментом и приспособлениями» от 27 ноября 2020 года № 835н,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«Правил техники безопасности при эксплуатации тепломеханического оборудования электростанций и тепловых сетей» РД 34.03.201-97, Правил противопожарного режима в Российской Федерации,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 утверждённых от 16.09.2020 № 1479;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208"/>
              <w:numPr>
                <w:ilvl w:val="0"/>
                <w:numId w:val="72"/>
              </w:numPr>
              <w:ind w:right="0"/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прошедших подготовку, повышение квалификации и аттестацию (проверку знаний) в области промышленной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энергетической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безопасности в том числе в территориальных органах Ростехнадзора, с учётом требований: ст. 28.1 Федерального закона «Об электроэнерге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ики» от 26.03.2003 № 35-ФЗ; ст. 14.1 Федерального закона от 21 июля 1997 г. № 116-ФЗ «О промышленной безопасности опасных производственных объектов»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ind w:left="0" w:right="0" w:firstLine="0"/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Во время оказания услуг команда ИТР Исполнителя должна поддерживать на должном уровне систему управления работами (инструментальное и материально-техническое обеспечение, уборка рабочих мест и конструкций оборудования, транспортировка мусора и отходо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в, оплаты и стимулирования труда, мероприятия по безопасности труда, противопожарных мероприятий и т.д.).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208"/>
              <w:numPr>
                <w:ilvl w:val="0"/>
                <w:numId w:val="38"/>
              </w:numPr>
              <w:ind w:left="0" w:right="0" w:firstLine="0"/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Оказание услу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 должно осуществляться силами специалистов, имеющих опыт выполнения данных услуг.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208"/>
              <w:numPr>
                <w:ilvl w:val="0"/>
                <w:numId w:val="38"/>
              </w:numPr>
              <w:ind w:left="0" w:right="0" w:firstLine="0"/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Персонал Исполнителя должен быть подготовлен, обучен и иметь удостоверения по проверке знаний по охране труда, технической эксплуатации, пожарной безопасности, электробезопасности, промышленной безопасности (области А1,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Г.1.1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).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pStyle w:val="1208"/>
              <w:ind w:left="0"/>
              <w:widowControl w:val="off"/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  <w:p>
            <w:pPr>
              <w:pStyle w:val="1208"/>
              <w:ind w:left="0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pStyle w:val="1232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sz w:val="24"/>
                <w:szCs w:val="24"/>
              </w:rPr>
            </w:r>
            <w:bookmarkStart w:id="13" w:name="_Toc8"/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bookmarkEnd w:id="13"/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  <w:p>
            <w:pPr>
              <w:pStyle w:val="1232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28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pStyle w:val="1208"/>
              <w:ind w:left="25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1.6.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Требования к безопасности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оказываемых услуг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 и охране труда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97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pStyle w:val="1208"/>
              <w:ind w:left="25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1.6.1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208"/>
              <w:ind w:left="25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textDirection w:val="lrTb"/>
            <w:noWrap w:val="false"/>
          </w:tcPr>
          <w:p>
            <w:pPr>
              <w:pStyle w:val="1208"/>
              <w:ind w:left="0"/>
              <w:jc w:val="both"/>
              <w:widowControl w:val="off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Требования к безопасности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г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6306" w:type="dxa"/>
            <w:textDirection w:val="lrTb"/>
            <w:noWrap w:val="false"/>
          </w:tcPr>
          <w:p>
            <w:pPr>
              <w:pStyle w:val="1208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Соблюдать требования действующего федерального законодательства РФ, нормативных правовых актов субъектов РФ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, а также все прочие законы и нормативные акты, относящиеся к сфере деятельности;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208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Обеспечить принятие всех необходимых мер в отношении ОТ, промышленной безопасности, пожарной безопасности, ООС и рационального использования природных ресурсов объекта, на котором осуществляется деятельность;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208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Соблюдать внутренние нормативные документы Заказчика (на площадке СП «ТЭЦ Восточная»);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208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Содержать и эксплуатировать оборудование, используемое для оказания услуг, предусмотренных Договором, в соответствии с действующим федеральным законодательством РФ, требованиями ОТ, промышленной безопасности, пожарной безопасности, ООС.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208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Направлять на объекты Заказчика работников, обученных правилам безопасного оказания услуг и имеющих все необходимые допуски к оказанию услуг, а также представлять документы на русском языке, подтверждающие аттестацию исполнителей на оказание соотв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етствующих услуг. 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208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Обеспечить весь персонал средствами индивидуальной защиты в соответствие с Типовыми отраслевыми нормами бесплатной выдачи специальной одежды, специальной обуви и других средств индивидуальной защиты (по отраслевой принадлежности Исполнителя).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208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Не допускать к оказанию услуг лиц, не прошедших обучение приемам оказания первой доврачебной реанимационной помощи.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208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Обеспечивать ответственных лиц медицинскими аптечками, укомплектованными в соответствии c действующими нормами.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208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Перед началом оказания услуг (на территории СП «ТЭЦ Восточная») предоставить Заказчику список должностных лиц, отвечающих за вопросы охраны труда, промышленной и пожарной безопасности с описанием их полномочий, обязанностей и зон ответственности.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208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На время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оказания услуг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обеспечить производственный контроль за соблюдением требований охраны труда п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ромышленной и пожарной безопасности, а также норм и правил природоохранного законодательства.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</w:p>
          <w:p>
            <w:pPr>
              <w:pStyle w:val="1208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Незамедлительно сообщать по телефону (либо другим дос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тупным способом), а затем в письменной форме соответствующему представителю Заказчика обо всех происшествиях (н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есчастный случай, пожар, взрыв, авария и т.п.).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</w:p>
          <w:p>
            <w:pPr>
              <w:pStyle w:val="1208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Перед началом оказания услуг оповестить Заказчика о начале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оказания услуг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с предоставлением согласованного календарного графика, согласовать при необходимости места установки техники и агрегатов, подключения к источникам электро- водосна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бжения, схему складирования материалов, способы прокладки временных линий электропередачи.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208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Не допускать к оказанию услуг на объектах Заказчика, и в случае выявления в течение рабочей смены незамедлительно отстранять работников Исполнителя, с признаками алкогольного, наркотического или токсического опьянения.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pStyle w:val="1208"/>
              <w:ind w:left="0"/>
              <w:widowControl w:val="off"/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огласие с требов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аниями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  <w:p>
            <w:pPr>
              <w:pStyle w:val="1208"/>
              <w:ind w:left="0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pStyle w:val="1232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sz w:val="24"/>
                <w:szCs w:val="24"/>
              </w:rPr>
            </w:r>
            <w:bookmarkStart w:id="14" w:name="_Toc9"/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bookmarkEnd w:id="14"/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  <w:p>
            <w:pPr>
              <w:pStyle w:val="1232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30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pStyle w:val="1208"/>
              <w:ind w:left="0"/>
              <w:jc w:val="center"/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vAlign w:val="center"/>
            <w:textDirection w:val="lrTb"/>
            <w:noWrap w:val="false"/>
          </w:tcPr>
          <w:p>
            <w:pPr>
              <w:pStyle w:val="1208"/>
              <w:ind w:left="0"/>
              <w:jc w:val="both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Требования к результатам услуг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pStyle w:val="1208"/>
              <w:ind w:left="0"/>
              <w:jc w:val="center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vAlign w:val="center"/>
            <w:textDirection w:val="lrTb"/>
            <w:noWrap w:val="false"/>
          </w:tcPr>
          <w:p>
            <w:pPr>
              <w:pStyle w:val="1168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Общие требования к результатам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г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1168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6306" w:type="dxa"/>
            <w:vAlign w:val="center"/>
            <w:textDirection w:val="lrTb"/>
            <w:noWrap w:val="false"/>
          </w:tcPr>
          <w:p>
            <w:pPr>
              <w:ind w:left="42"/>
              <w:jc w:val="both"/>
              <w:widowControl w:val="off"/>
              <w:tabs>
                <w:tab w:val="left" w:pos="741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обслуживание </w:t>
            </w:r>
            <w:r>
              <w:rPr>
                <w:sz w:val="24"/>
                <w:szCs w:val="24"/>
              </w:rPr>
              <w:t xml:space="preserve">генераторов ст. №№ 1,3 типа BDAX 7-290 ERJT1 в объеме 30000 часов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</w:rPr>
              <w:t xml:space="preserve">для ТЭЦ Восточная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соответствии с техническими требованиями.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208"/>
              <w:ind w:left="0"/>
              <w:jc w:val="both"/>
              <w:widowControl w:val="off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</w:rPr>
              <w:t xml:space="preserve">Состоян</w:t>
            </w:r>
            <w:r>
              <w:rPr>
                <w:sz w:val="24"/>
                <w:szCs w:val="24"/>
              </w:rPr>
              <w:t xml:space="preserve">ие оборудования после технического</w:t>
            </w:r>
            <w:r>
              <w:rPr>
                <w:sz w:val="24"/>
                <w:szCs w:val="24"/>
              </w:rPr>
              <w:t xml:space="preserve"> обслуживания </w:t>
            </w:r>
            <w:r>
              <w:rPr>
                <w:sz w:val="24"/>
                <w:szCs w:val="24"/>
              </w:rPr>
              <w:t xml:space="preserve">должно соответс</w:t>
            </w:r>
            <w:r>
              <w:rPr>
                <w:sz w:val="24"/>
                <w:szCs w:val="24"/>
              </w:rPr>
              <w:t xml:space="preserve">твовать нормативно – технической документации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pStyle w:val="1208"/>
              <w:ind w:left="0"/>
              <w:jc w:val="center"/>
              <w:widowControl w:val="off"/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69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pStyle w:val="1208"/>
              <w:ind w:left="25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2.2.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Требования к приемке результата оказания у</w:t>
            </w:r>
            <w:r>
              <w:rPr>
                <w:sz w:val="24"/>
                <w:szCs w:val="24"/>
              </w:rPr>
              <w:t xml:space="preserve">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1"/>
        </w:trPr>
        <w:tc>
          <w:tcPr>
            <w:tcW w:w="1173" w:type="dxa"/>
            <w:vAlign w:val="center"/>
            <w:vMerge w:val="restart"/>
            <w:textDirection w:val="lrTb"/>
            <w:noWrap w:val="false"/>
          </w:tcPr>
          <w:p>
            <w:pPr>
              <w:pStyle w:val="1208"/>
              <w:ind w:left="25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2.2.1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vMerge w:val="restart"/>
            <w:textDirection w:val="lrTb"/>
            <w:noWrap w:val="false"/>
          </w:tcPr>
          <w:p>
            <w:pPr>
              <w:pStyle w:val="1168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орядок приемки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gridSpan w:val="2"/>
            <w:tcW w:w="6306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Указан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в разделе № 4 п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роекта договора оказания услуг, который включен в состав 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Style w:val="1237"/>
                <w:rFonts w:ascii="Times New Roman" w:hAnsi="Times New Roman" w:eastAsia="Times New Roman" w:cs="Times New Roman"/>
                <w:b w:val="0"/>
                <w:bCs/>
                <w:i w:val="0"/>
                <w:sz w:val="24"/>
                <w:szCs w:val="24"/>
                <w:highlight w:val="white"/>
                <w:shd w:val="clear" w:color="auto" w:fill="aut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vMerge w:val="restart"/>
            <w:textDirection w:val="lrTb"/>
            <w:noWrap w:val="false"/>
          </w:tcPr>
          <w:p>
            <w:pPr>
              <w:pStyle w:val="1232"/>
              <w:keepNext w:val="0"/>
              <w:rPr>
                <w:rFonts w:ascii="Times New Roman" w:hAnsi="Times New Roman" w:cs="Times New Roman"/>
                <w:bCs w:val="0"/>
                <w:sz w:val="24"/>
                <w:szCs w:val="24"/>
                <w:highlight w:val="white"/>
              </w:rPr>
              <w:outlineLvl w:val="2"/>
            </w:pPr>
            <w:r>
              <w:rPr>
                <w:sz w:val="24"/>
                <w:szCs w:val="24"/>
              </w:rPr>
            </w:r>
            <w:bookmarkStart w:id="15" w:name="_Toc10"/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  <w:highlight w:val="white"/>
              </w:rPr>
            </w:r>
            <w:bookmarkEnd w:id="15"/>
            <w:r>
              <w:rPr>
                <w:rFonts w:ascii="Times New Roman" w:hAnsi="Times New Roman" w:cs="Times New Roman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vMerge w:val="restart"/>
            <w:textDirection w:val="lrTb"/>
            <w:noWrap w:val="false"/>
          </w:tcPr>
          <w:p>
            <w:pPr>
              <w:pStyle w:val="1232"/>
              <w:keepNext w:val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2"/>
            </w:pPr>
            <w:r>
              <w:rPr>
                <w:sz w:val="24"/>
                <w:szCs w:val="24"/>
              </w:rPr>
            </w:r>
            <w:bookmarkStart w:id="16" w:name="_Toc11"/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bookmarkEnd w:id="16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66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ind w:left="5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2.3.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vAlign w:val="center"/>
            <w:textDirection w:val="lrTb"/>
            <w:noWrap w:val="false"/>
          </w:tcPr>
          <w:p>
            <w:pPr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документации, описывающей результат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11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2.3.1.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Документы, передаваемые заказчику по результатам оказанных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6306" w:type="dxa"/>
            <w:textDirection w:val="lrTb"/>
            <w:noWrap w:val="false"/>
          </w:tcPr>
          <w:p>
            <w:pPr>
              <w:pStyle w:val="1208"/>
              <w:ind w:left="0"/>
              <w:jc w:val="both"/>
              <w:widowControl w:val="off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По завершению оказания услуг, исполнитель предоставляет отчет о результатах оказанных услуг в состав которого входит: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pStyle w:val="1208"/>
              <w:ind w:left="0"/>
              <w:jc w:val="both"/>
              <w:widowControl w:val="off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- п</w:t>
            </w:r>
            <w:r>
              <w:rPr>
                <w:sz w:val="24"/>
                <w:szCs w:val="24"/>
              </w:rPr>
              <w:t xml:space="preserve">ротоколирование рабочих параметров оборудования;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pStyle w:val="1208"/>
              <w:ind w:left="0"/>
              <w:jc w:val="both"/>
              <w:widowControl w:val="off"/>
              <w:rPr>
                <w:sz w:val="24"/>
                <w:szCs w:val="24"/>
                <w:highlight w:val="white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- з</w:t>
            </w:r>
            <w:r>
              <w:rPr>
                <w:sz w:val="24"/>
                <w:szCs w:val="24"/>
              </w:rPr>
              <w:t xml:space="preserve">апо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лненный журнал технического обслуживания;</w:t>
            </w:r>
            <w:r>
              <w:rPr>
                <w:sz w:val="24"/>
                <w:szCs w:val="24"/>
                <w:highlight w:val="white"/>
                <w14:ligatures w14:val="none"/>
              </w:rPr>
            </w:r>
            <w:r>
              <w:rPr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- комиссионны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е акты входного контроля зак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упаемых Исполнителем материалов (в произвольной форме) на соответствие продукции требованиям технической документации;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- сертификаты, подтверждающие качество и соответствие требованиям конструкторской и нормативно-технической документации материалов (форма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завода – изготовителя);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- табель учета рабочего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времени Исполнителя;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- акт дефектации оборудования, акт о выявленных дефектах;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- акт об использовании для оказания услуг материалов-заместителей;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- технический отчет</w:t>
            </w:r>
            <w:r>
              <w:rPr>
                <w:sz w:val="24"/>
                <w:szCs w:val="24"/>
              </w:rPr>
              <w:t xml:space="preserve">, с приложением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актов проведенных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замеров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, протоколов о проведённом техническом обслуживании (с приложением фотоотчета);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- акт об оказании услуг.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208"/>
              <w:ind w:left="0"/>
              <w:jc w:val="both"/>
              <w:widowControl w:val="off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Отчет представляется: 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pStyle w:val="1208"/>
              <w:ind w:left="0"/>
              <w:jc w:val="both"/>
              <w:widowControl w:val="off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-  на бумажном носителе в 2-х экземплярах.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pStyle w:val="1208"/>
              <w:ind w:left="0"/>
              <w:jc w:val="both"/>
              <w:widowControl w:val="off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- на электронном носителе в 1 экземпляре в формате </w:t>
            </w:r>
            <w:r>
              <w:rPr>
                <w:sz w:val="24"/>
                <w:szCs w:val="24"/>
              </w:rPr>
              <w:t xml:space="preserve">doc</w:t>
            </w:r>
            <w:r>
              <w:rPr>
                <w:sz w:val="24"/>
                <w:szCs w:val="24"/>
              </w:rPr>
              <w:t xml:space="preserve"> (MS </w:t>
            </w:r>
            <w:r>
              <w:rPr>
                <w:sz w:val="24"/>
                <w:szCs w:val="24"/>
              </w:rPr>
              <w:t xml:space="preserve">Word</w:t>
            </w:r>
            <w:r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</w:rPr>
              <w:t xml:space="preserve">pdf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pStyle w:val="1208"/>
              <w:ind w:left="0"/>
              <w:jc w:val="both"/>
              <w:widowControl w:val="off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Размеры, форматы и содержание текстовых документов, выполненные в электронных форматах, должны быть идентичны бумажному оригиналу, к которому они прилагаются.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pStyle w:val="1232"/>
              <w:keepNext w:val="0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sz w:val="24"/>
                <w:szCs w:val="24"/>
              </w:rPr>
            </w:r>
            <w:bookmarkStart w:id="17" w:name="_Toc12"/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bookmarkEnd w:id="17"/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11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692"/>
        </w:trPr>
        <w:tc>
          <w:tcPr>
            <w:tcBorders>
              <w:bottom w:val="single" w:color="auto" w:sz="4" w:space="0"/>
            </w:tcBorders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Соблюдение при оказании услуг норм и правил нормативно-технических документов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6306" w:type="dxa"/>
            <w:textDirection w:val="lrTb"/>
            <w:noWrap w:val="false"/>
          </w:tcPr>
          <w:p>
            <w:pPr>
              <w:jc w:val="both"/>
              <w:spacing w:before="20"/>
              <w:rPr>
                <w:bCs w:val="0"/>
                <w:i w:val="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Услуги должны осуществляться в соответствии с национальны</w:t>
            </w:r>
            <w:r>
              <w:rPr>
                <w:i w:val="0"/>
                <w:iCs w:val="0"/>
                <w:sz w:val="24"/>
                <w:szCs w:val="24"/>
              </w:rPr>
              <w:t xml:space="preserve">ми, отраслевыми и корпоративными (ПАО «</w:t>
            </w:r>
            <w:r>
              <w:rPr>
                <w:i w:val="0"/>
                <w:iCs w:val="0"/>
                <w:sz w:val="24"/>
                <w:szCs w:val="24"/>
              </w:rPr>
              <w:t xml:space="preserve">РусГидро</w:t>
            </w:r>
            <w:r>
              <w:rPr>
                <w:i w:val="0"/>
                <w:iCs w:val="0"/>
                <w:sz w:val="24"/>
                <w:szCs w:val="24"/>
              </w:rPr>
              <w:t xml:space="preserve">») нормативно-техническими документами (НТД) и нормативно-правовыми актами (НПА).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Подробно указаны в проекте договора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возмездного оказания услуг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(в том числе приложение №3 ТТ), который включен в состав Документации о закупке.</w:t>
            </w:r>
            <w:r>
              <w:rPr>
                <w:bCs w:val="0"/>
                <w:i w:val="0"/>
                <w:sz w:val="24"/>
                <w:szCs w:val="24"/>
              </w:rPr>
            </w:r>
            <w:r>
              <w:rPr>
                <w:bCs w:val="0"/>
                <w:i w:val="0"/>
                <w:sz w:val="24"/>
                <w:szCs w:val="24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pStyle w:val="1232"/>
              <w:keepNext w:val="0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sz w:val="24"/>
                <w:szCs w:val="24"/>
              </w:rPr>
            </w:r>
            <w:bookmarkStart w:id="18" w:name="_Toc13"/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bookmarkEnd w:id="18"/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3"/>
        </w:trPr>
        <w:tc>
          <w:tcPr>
            <w:tcBorders>
              <w:bottom w:val="single" w:color="000000" w:sz="4" w:space="0"/>
            </w:tcBorders>
            <w:tcW w:w="1173" w:type="dxa"/>
            <w:vAlign w:val="center"/>
            <w:textDirection w:val="lrTb"/>
            <w:noWrap w:val="false"/>
          </w:tcPr>
          <w:p>
            <w:pPr>
              <w:ind w:left="0" w:firstLine="0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</w:rPr>
              <w:t xml:space="preserve">Требования к обязательствам исполнителя, влияющим на исполнение договора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60"/>
        </w:trPr>
        <w:tc>
          <w:tcPr>
            <w:tcBorders>
              <w:bottom w:val="single" w:color="000000" w:sz="4" w:space="0"/>
            </w:tcBorders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Требования к соисполнителям, привлекаемым к оказанию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630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В случае привлечения к оказанию услуг соисполнителей исполнитель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оказания ими услуг.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0"/>
        </w:trPr>
        <w:tc>
          <w:tcPr>
            <w:gridSpan w:val="7"/>
            <w:tcBorders>
              <w:bottom w:val="single" w:color="000000" w:sz="4" w:space="0"/>
            </w:tcBorders>
            <w:tcW w:w="15258" w:type="dxa"/>
            <w:vAlign w:val="center"/>
            <w:vMerge w:val="restart"/>
            <w:textDirection w:val="lrTb"/>
            <w:noWrap w:val="false"/>
          </w:tcPr>
          <w:p>
            <w:pPr>
              <w:pStyle w:val="951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lang w:val="ru-RU" w:eastAsia="en-US" w:bidi="ar-SA"/>
              </w:rPr>
              <w:t xml:space="preserve">5.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lang w:val="ru-RU" w:eastAsia="en-US" w:bidi="ar-SA"/>
              </w:rPr>
              <w:t xml:space="preserve">Требования к победителю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60"/>
        </w:trPr>
        <w:tc>
          <w:tcPr>
            <w:gridSpan w:val="7"/>
            <w:tcBorders>
              <w:bottom w:val="single" w:color="000000" w:sz="4" w:space="0"/>
            </w:tcBorders>
            <w:tcW w:w="15258" w:type="dxa"/>
            <w:vAlign w:val="center"/>
            <w:vMerge w:val="restart"/>
            <w:textDirection w:val="lrTb"/>
            <w:noWrap w:val="false"/>
          </w:tcPr>
          <w:p>
            <w:pPr>
              <w:pStyle w:val="951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частник, признанный победителем 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купочной процедуры, в течение 5 (пяти) рабочих дней после размещения протокола подведения итогов закупки на сайте www.zakupki.gov.ru (до заключения договора), должен предоставить в адрес Заказчика на электронный адр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ес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lang w:val="ru-RU" w:eastAsia="en-US" w:bidi="ar-SA"/>
              </w:rPr>
            </w:r>
            <w:hyperlink r:id="rId16" w:tooltip="Click to mail stepan-dv@dgk.ru" w:history="1">
              <w:r>
                <w:rPr>
                  <w:rStyle w:val="1184"/>
                  <w:rFonts w:ascii="Times New Roman" w:hAnsi="Times New Roman" w:eastAsia="Times New Roman" w:cs="Times New Roman"/>
                  <w:color w:val="0000ee"/>
                  <w:sz w:val="24"/>
                  <w:szCs w:val="24"/>
                  <w:highlight w:val="white"/>
                  <w:u w:val="single"/>
                </w:rPr>
                <w:t xml:space="preserve">stepan-dv@dgk.ru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caps w:val="0"/>
                <w:smallCaps w:val="0"/>
                <w:spacing w:val="0"/>
                <w:sz w:val="24"/>
                <w:szCs w:val="24"/>
                <w:highlight w:val="white"/>
                <w:lang w:val="ru-RU" w:eastAsia="en-US" w:bidi="ar-SA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lang w:val="ru-RU" w:eastAsia="en-US" w:bidi="ar-SA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ополнительные документы.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1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В случае не предоставления документов, указанных в данном пункте в установленный срок, в соответствии с условиями Документации о закупке, Победитель призн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45"/>
        </w:trPr>
        <w:tc>
          <w:tcPr>
            <w:gridSpan w:val="4"/>
            <w:tcBorders>
              <w:bottom w:val="single" w:color="000000" w:sz="4" w:space="0"/>
            </w:tcBorders>
            <w:tcW w:w="7629" w:type="dxa"/>
            <w:vAlign w:val="center"/>
            <w:vMerge w:val="restart"/>
            <w:textDirection w:val="lrTb"/>
            <w:noWrap w:val="false"/>
          </w:tcPr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  <w:lang w:val="ru-RU" w:eastAsia="en-US" w:bidi="ar-SA"/>
              </w:rPr>
              <w:t xml:space="preserve">Требования к кадровым ресурсам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  <w:lang w:val="ru-RU" w:eastAsia="en-US" w:bidi="ar-SA"/>
              </w:rPr>
              <w:t xml:space="preserve">Победителя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</w:rPr>
            </w:r>
          </w:p>
          <w:p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</w:rPr>
              <w:t xml:space="preserve">1) Согласно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п.92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Постановления правительства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от 24.12.2021 г.№2464 «О порядке обучения по охране труда и проверки знаний требований охраны труда»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ru-RU"/>
              </w:rPr>
              <w:t xml:space="preserve">Иметь в наличие не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 2 человек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прошедших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проверку знаний требований охраны труда.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</w:rPr>
              <w:t xml:space="preserve">2) Согласно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«Правил по охране труда при эксплуатации электроустановок» Минтруда РФ от 15 декабря 2020 года № 903н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иметь соответствующую аттестацию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  <w14:ligatures w14:val="none"/>
              </w:rPr>
            </w:r>
          </w:p>
        </w:tc>
        <w:tc>
          <w:tcPr>
            <w:gridSpan w:val="3"/>
            <w:tcBorders>
              <w:bottom w:val="single" w:color="000000" w:sz="4" w:space="0"/>
            </w:tcBorders>
            <w:tcW w:w="7629" w:type="dxa"/>
            <w:vAlign w:val="center"/>
            <w:vMerge w:val="restart"/>
            <w:textDirection w:val="lrTb"/>
            <w:noWrap w:val="false"/>
          </w:tcPr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  <w:lang w:val="ru-RU" w:eastAsia="en-US" w:bidi="ar-SA"/>
              </w:rPr>
              <w:t xml:space="preserve">Подтверждается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</w:rPr>
            </w:r>
          </w:p>
          <w:p>
            <w:pPr>
              <w:ind w:left="0" w:right="141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опиями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протокол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 (-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 проверки знания требований охраны труда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обученных лиц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чем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2 человек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которые будут непосредственно на объектах оказывать услуги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141" w:firstLine="0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141" w:firstLine="0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141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2. копиями квалификационных удостоверений установленного образца с соответствующей группой по электробезопасности: у отв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етственного руководителя оказываемых услуг/  производителя работ - не менее IV группы по электробезопасности, у членов бригады - не менее III группы по электробезопасности.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</w:tr>
    </w:tbl>
    <w:p>
      <w:pPr>
        <w:rPr>
          <w:rStyle w:val="1237"/>
          <w:iCs/>
          <w:color w:val="ff0000"/>
          <w:sz w:val="24"/>
          <w:szCs w:val="24"/>
          <w:highlight w:val="white"/>
        </w:rPr>
        <w:sectPr>
          <w:headerReference w:type="default" r:id="rId12"/>
          <w:headerReference w:type="even" r:id="rId13"/>
          <w:headerReference w:type="first" r:id="rId14"/>
          <w:footnotePr/>
          <w:endnotePr/>
          <w:type w:val="nextPage"/>
          <w:pgSz w:w="16838" w:h="11906" w:orient="landscape"/>
          <w:pgMar w:top="1135" w:right="962" w:bottom="851" w:left="992" w:header="680" w:footer="737" w:gutter="0"/>
          <w:pgNumType w:start="5"/>
          <w:cols w:num="1" w:sep="0" w:space="708" w:equalWidth="1"/>
          <w:docGrid w:linePitch="360"/>
          <w:titlePg/>
        </w:sectPr>
      </w:pPr>
      <w:r>
        <w:rPr>
          <w:iCs/>
          <w:color w:val="ff0000"/>
          <w:sz w:val="24"/>
          <w:szCs w:val="24"/>
          <w:highlight w:val="white"/>
        </w:rPr>
      </w:r>
      <w:r>
        <w:rPr>
          <w:rStyle w:val="1237"/>
          <w:iCs/>
          <w:color w:val="ff0000"/>
          <w:sz w:val="24"/>
          <w:szCs w:val="24"/>
          <w:highlight w:val="white"/>
        </w:rPr>
      </w:r>
      <w:r>
        <w:rPr>
          <w:rStyle w:val="1237"/>
          <w:iCs/>
          <w:color w:val="ff0000"/>
          <w:sz w:val="24"/>
          <w:szCs w:val="24"/>
          <w:highlight w:val="white"/>
        </w:rPr>
      </w:r>
    </w:p>
    <w:p>
      <w:pPr>
        <w:rPr>
          <w:rStyle w:val="1237"/>
          <w:iCs/>
          <w:color w:val="ff0000"/>
          <w:sz w:val="24"/>
          <w:szCs w:val="24"/>
          <w:highlight w:val="white"/>
        </w:rPr>
      </w:pPr>
      <w:r>
        <w:rPr>
          <w:iCs/>
          <w:color w:val="ff0000"/>
          <w:sz w:val="24"/>
          <w:szCs w:val="24"/>
          <w:highlight w:val="white"/>
        </w:rPr>
      </w:r>
      <w:r>
        <w:rPr>
          <w:rStyle w:val="1237"/>
          <w:iCs/>
          <w:color w:val="ff0000"/>
          <w:sz w:val="24"/>
          <w:szCs w:val="24"/>
          <w:highlight w:val="white"/>
        </w:rPr>
      </w:r>
      <w:r>
        <w:rPr>
          <w:rStyle w:val="1237"/>
          <w:iCs/>
          <w:color w:val="ff0000"/>
          <w:sz w:val="24"/>
          <w:szCs w:val="24"/>
          <w:highlight w:val="white"/>
        </w:rPr>
      </w:r>
    </w:p>
    <w:p>
      <w:pPr>
        <w:pStyle w:val="1208"/>
        <w:numPr>
          <w:ilvl w:val="0"/>
          <w:numId w:val="22"/>
        </w:numP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pP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Требования 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к документации по ценообразованию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 на этапе закупки</w:t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</w:p>
    <w:p>
      <w:pPr>
        <w:ind w:firstLine="426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обоснование стоимости заявки Участник должен предоставить «Коммерческое предложение» по форме, приведенной в Документации о </w:t>
      </w:r>
      <w:r>
        <w:rPr>
          <w:sz w:val="24"/>
          <w:szCs w:val="24"/>
          <w:highlight w:val="white"/>
        </w:rPr>
        <w:t xml:space="preserve">закупке. </w:t>
      </w:r>
      <w:r>
        <w:rPr>
          <w:sz w:val="24"/>
          <w:szCs w:val="24"/>
          <w:highlight w:val="white"/>
        </w:rPr>
        <w:t xml:space="preserve">Дополнительные документы по ценообразованию не предоставляются.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426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426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08"/>
        <w:numPr>
          <w:ilvl w:val="0"/>
          <w:numId w:val="22"/>
        </w:numP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pP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Требования к документации по ценообразованию на этапе заключения (исполнения) договора</w:t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</w:p>
    <w:p>
      <w:pPr>
        <w:ind w:left="0" w:right="0" w:firstLine="360"/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pP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  <w:r>
        <w:rPr>
          <w:sz w:val="24"/>
          <w:szCs w:val="24"/>
          <w:highlight w:val="white"/>
        </w:rPr>
        <w:t xml:space="preserve">Цена Договора формируется в соответствии с Расчетом стоимости услуг (приложение № 2 к ТТ).</w:t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</w:p>
    <w:p>
      <w:pPr>
        <w:ind w:left="360" w:firstLine="0"/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pP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</w:p>
    <w:p>
      <w:pPr>
        <w:ind w:left="360" w:firstLine="0"/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pP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</w:p>
    <w:p>
      <w:pPr>
        <w:pStyle w:val="1208"/>
        <w:numPr>
          <w:ilvl w:val="0"/>
          <w:numId w:val="22"/>
        </w:numP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pP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Приложения</w:t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rStyle w:val="1237"/>
          <w:b w:val="0"/>
          <w:bCs/>
          <w:iCs/>
          <w:sz w:val="24"/>
          <w:szCs w:val="24"/>
          <w:highlight w:val="white"/>
        </w:rPr>
      </w:pPr>
      <w:r>
        <w:rPr>
          <w:b w:val="0"/>
          <w:bCs/>
          <w:iCs/>
          <w:sz w:val="24"/>
          <w:szCs w:val="24"/>
          <w:highlight w:val="white"/>
        </w:rPr>
      </w:r>
      <w:r>
        <w:rPr>
          <w:rStyle w:val="1237"/>
          <w:b w:val="0"/>
          <w:bCs/>
          <w:iCs/>
          <w:sz w:val="24"/>
          <w:szCs w:val="24"/>
          <w:highlight w:val="white"/>
        </w:rPr>
      </w:r>
      <w:r>
        <w:rPr>
          <w:rStyle w:val="1237"/>
          <w:b w:val="0"/>
          <w:bCs/>
          <w:iCs/>
          <w:sz w:val="24"/>
          <w:szCs w:val="24"/>
          <w:highlight w:val="white"/>
        </w:rPr>
      </w:r>
    </w:p>
    <w:p>
      <w:pPr>
        <w:jc w:val="both"/>
        <w:spacing w:before="20"/>
        <w:widowControl w:val="off"/>
        <w:tabs>
          <w:tab w:val="left" w:pos="426" w:leader="none"/>
        </w:tabs>
        <w:rPr>
          <w:i w:val="0"/>
          <w:iCs w:val="0"/>
          <w:sz w:val="24"/>
          <w:szCs w:val="24"/>
          <w:highlight w:val="white"/>
        </w:rPr>
      </w:pPr>
      <w:r>
        <w:rPr>
          <w:rStyle w:val="1237"/>
          <w:b w:val="0"/>
          <w:bCs/>
          <w:i w:val="0"/>
          <w:iCs w:val="0"/>
          <w:sz w:val="24"/>
          <w:szCs w:val="24"/>
          <w:highlight w:val="white"/>
          <w:shd w:val="clear" w:color="auto" w:fill="ffffff" w:themeFill="background1"/>
        </w:rPr>
        <w:t xml:space="preserve">Приложение №1. </w:t>
      </w:r>
      <w:r>
        <w:rPr>
          <w:i w:val="0"/>
          <w:iCs w:val="0"/>
          <w:color w:val="000000" w:themeColor="text1"/>
          <w:sz w:val="24"/>
          <w:szCs w:val="24"/>
          <w:highlight w:val="white"/>
        </w:rPr>
        <w:t xml:space="preserve">Ведомость объемов работ.</w:t>
      </w:r>
      <w:r>
        <w:rPr>
          <w:i w:val="0"/>
          <w:iCs w:val="0"/>
          <w:sz w:val="24"/>
          <w:szCs w:val="24"/>
          <w:highlight w:val="white"/>
        </w:rPr>
      </w:r>
      <w:r>
        <w:rPr>
          <w:i w:val="0"/>
          <w:iCs w:val="0"/>
          <w:sz w:val="24"/>
          <w:szCs w:val="24"/>
          <w:highlight w:val="whit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i w:val="0"/>
          <w:iCs w:val="0"/>
          <w:sz w:val="24"/>
          <w:szCs w:val="24"/>
          <w:highlight w:val="none"/>
        </w:rPr>
      </w:pPr>
      <w:r>
        <w:rPr>
          <w:rStyle w:val="1237"/>
          <w:b w:val="0"/>
          <w:bCs/>
          <w:i w:val="0"/>
          <w:iCs w:val="0"/>
          <w:sz w:val="24"/>
          <w:szCs w:val="24"/>
          <w:highlight w:val="white"/>
          <w:shd w:val="clear" w:color="auto" w:fill="ffffff" w:themeFill="background1"/>
        </w:rPr>
        <w:t xml:space="preserve">Приложение №2. Расчет стоимости услуг</w:t>
      </w:r>
      <w:r>
        <w:rPr>
          <w:rStyle w:val="1237"/>
          <w:b w:val="0"/>
          <w:bCs/>
          <w:i w:val="0"/>
          <w:iCs w:val="0"/>
          <w:sz w:val="24"/>
          <w:szCs w:val="24"/>
          <w:highlight w:val="white"/>
          <w:shd w:val="clear" w:color="auto" w:fill="ffffff" w:themeFill="background1"/>
        </w:rPr>
        <w:t xml:space="preserve">.</w:t>
      </w:r>
      <w:r>
        <w:rPr>
          <w:i w:val="0"/>
          <w:iCs w:val="0"/>
          <w:sz w:val="24"/>
          <w:szCs w:val="24"/>
          <w:highlight w:val="none"/>
        </w:rPr>
      </w:r>
      <w:r>
        <w:rPr>
          <w:i w:val="0"/>
          <w:iCs w:val="0"/>
          <w:sz w:val="24"/>
          <w:szCs w:val="24"/>
          <w:highlight w:val="non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bCs/>
          <w:i w:val="0"/>
          <w:iCs w:val="0"/>
          <w:sz w:val="24"/>
          <w:szCs w:val="24"/>
          <w:highlight w:val="white"/>
        </w:rPr>
      </w:pPr>
      <w:r>
        <w:rPr>
          <w:i w:val="0"/>
          <w:iCs w:val="0"/>
          <w:sz w:val="24"/>
          <w:szCs w:val="24"/>
          <w:highlight w:val="white"/>
        </w:rPr>
      </w:r>
      <w:r>
        <w:rPr>
          <w:i w:val="0"/>
          <w:iCs w:val="0"/>
          <w:sz w:val="24"/>
          <w:szCs w:val="24"/>
          <w:highlight w:val="white"/>
        </w:rPr>
        <w:t xml:space="preserve">Приложение №3. Локальные нормативные акты АО «ДГК».</w:t>
      </w:r>
      <w:r>
        <w:rPr>
          <w:bCs/>
          <w:i w:val="0"/>
          <w:iCs w:val="0"/>
          <w:sz w:val="24"/>
          <w:szCs w:val="24"/>
          <w:highlight w:val="white"/>
        </w:rPr>
      </w:r>
      <w:r>
        <w:rPr>
          <w:bCs/>
          <w:i w:val="0"/>
          <w:iCs w:val="0"/>
          <w:sz w:val="24"/>
          <w:szCs w:val="24"/>
          <w:highlight w:val="whit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i/>
          <w:sz w:val="24"/>
          <w:szCs w:val="24"/>
          <w:highlight w:val="white"/>
        </w:rPr>
      </w:pPr>
      <w:r>
        <w:rPr>
          <w:i/>
          <w:sz w:val="24"/>
          <w:szCs w:val="24"/>
          <w:highlight w:val="white"/>
        </w:rPr>
      </w:r>
      <w:r>
        <w:rPr>
          <w:i/>
          <w:sz w:val="24"/>
          <w:szCs w:val="24"/>
          <w:highlight w:val="white"/>
        </w:rPr>
      </w:r>
      <w:r>
        <w:rPr>
          <w:i/>
          <w:sz w:val="24"/>
          <w:szCs w:val="24"/>
          <w:highlight w:val="whit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i/>
          <w:sz w:val="24"/>
          <w:szCs w:val="24"/>
          <w:highlight w:val="white"/>
        </w:rPr>
      </w:pPr>
      <w:r>
        <w:rPr>
          <w:i/>
          <w:sz w:val="24"/>
          <w:szCs w:val="24"/>
          <w:highlight w:val="white"/>
        </w:rPr>
      </w:r>
      <w:r>
        <w:rPr>
          <w:i/>
          <w:sz w:val="24"/>
          <w:szCs w:val="24"/>
          <w:highlight w:val="white"/>
        </w:rPr>
      </w:r>
      <w:r>
        <w:rPr>
          <w:i/>
          <w:sz w:val="24"/>
          <w:szCs w:val="24"/>
          <w:highlight w:val="whit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bCs/>
          <w:i/>
          <w:sz w:val="24"/>
          <w:szCs w:val="24"/>
          <w:highlight w:val="white"/>
        </w:rPr>
      </w:pPr>
      <w:r>
        <w:rPr>
          <w:i/>
          <w:sz w:val="24"/>
          <w:szCs w:val="24"/>
          <w:highlight w:val="white"/>
        </w:rPr>
      </w:r>
      <w:r>
        <w:rPr>
          <w:bCs/>
          <w:i/>
          <w:sz w:val="24"/>
          <w:szCs w:val="24"/>
          <w:highlight w:val="white"/>
        </w:rPr>
      </w:r>
      <w:r>
        <w:rPr>
          <w:bCs/>
          <w:i/>
          <w:sz w:val="24"/>
          <w:szCs w:val="24"/>
          <w:highlight w:val="whit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bCs/>
          <w:i/>
          <w:sz w:val="24"/>
          <w:szCs w:val="24"/>
          <w:highlight w:val="white"/>
        </w:rPr>
      </w:pPr>
      <w:r>
        <w:rPr>
          <w:bCs/>
          <w:i/>
          <w:sz w:val="24"/>
          <w:szCs w:val="24"/>
          <w:highlight w:val="white"/>
        </w:rPr>
      </w:r>
      <w:r>
        <w:rPr>
          <w:bCs/>
          <w:i/>
          <w:sz w:val="24"/>
          <w:szCs w:val="24"/>
          <w:highlight w:val="white"/>
        </w:rPr>
      </w:r>
      <w:r>
        <w:rPr>
          <w:bCs/>
          <w:i/>
          <w:sz w:val="24"/>
          <w:szCs w:val="24"/>
          <w:highlight w:val="white"/>
        </w:rPr>
      </w:r>
    </w:p>
    <w:p>
      <w:pPr>
        <w:shd w:val="nil" w:color="auto"/>
        <w:rPr>
          <w:bCs/>
          <w:i/>
          <w:sz w:val="24"/>
          <w:szCs w:val="24"/>
          <w:highlight w:val="white"/>
        </w:rPr>
      </w:pPr>
      <w:r>
        <w:rPr>
          <w:bCs/>
          <w:i/>
          <w:sz w:val="24"/>
          <w:szCs w:val="24"/>
          <w:highlight w:val="white"/>
        </w:rPr>
        <w:br w:type="page" w:clear="all"/>
      </w:r>
      <w:r>
        <w:rPr>
          <w:bCs/>
          <w:i/>
          <w:sz w:val="24"/>
          <w:szCs w:val="24"/>
          <w:highlight w:val="white"/>
        </w:rPr>
      </w:r>
      <w:r>
        <w:rPr>
          <w:bCs/>
          <w:i/>
          <w:sz w:val="24"/>
          <w:szCs w:val="24"/>
          <w:highlight w:val="whit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bCs/>
          <w:i/>
          <w:sz w:val="24"/>
          <w:szCs w:val="24"/>
          <w:highlight w:val="white"/>
        </w:rPr>
      </w:pPr>
      <w:r>
        <w:rPr>
          <w:bCs/>
          <w:i/>
          <w:sz w:val="24"/>
          <w:szCs w:val="24"/>
          <w:highlight w:val="white"/>
        </w:rPr>
      </w:r>
      <w:r>
        <w:rPr>
          <w:bCs/>
          <w:i/>
          <w:sz w:val="24"/>
          <w:szCs w:val="24"/>
          <w:highlight w:val="white"/>
        </w:rPr>
      </w:r>
      <w:r>
        <w:rPr>
          <w:bCs/>
          <w:i/>
          <w:sz w:val="24"/>
          <w:szCs w:val="24"/>
          <w:highlight w:val="white"/>
        </w:rPr>
      </w:r>
    </w:p>
    <w:tbl>
      <w:tblPr>
        <w:tblStyle w:val="1165"/>
        <w:tblW w:w="0" w:type="auto"/>
        <w:tblLayout w:type="fixed"/>
        <w:tblLook w:val="04A0" w:firstRow="1" w:lastRow="0" w:firstColumn="1" w:lastColumn="0" w:noHBand="0" w:noVBand="1"/>
      </w:tblPr>
      <w:tblGrid>
        <w:gridCol w:w="388"/>
        <w:gridCol w:w="5088"/>
        <w:gridCol w:w="1358"/>
        <w:gridCol w:w="1537"/>
        <w:gridCol w:w="1126"/>
      </w:tblGrid>
      <w:tr>
        <w:tblPrEx/>
        <w:trPr>
          <w:trHeight w:val="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8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  <w:t xml:space="preserve">Приложение №1 к техническим требованиям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8" w:type="dxa"/>
            <w:vAlign w:val="top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37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0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  <w:t xml:space="preserve">ВЕДОМОСТЬ ОБЪЕМОВ РАБОТ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5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 w:val="0"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  <w:t xml:space="preserve">техническое обслуживание </w:t>
            </w:r>
            <w:r>
              <w:rPr>
                <w:rFonts w:ascii="Times New Roman" w:hAnsi="Times New Roman" w:eastAsia="Times New Roman" w:cs="Times New Roman"/>
                <w:b/>
                <w:bCs w:val="0"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bCs w:val="0"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 w:val="0"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  <w:t xml:space="preserve">генераторов ст. №№ 1,3 типа BDAX 7-290 ERJT1 в объеме 30000 часов </w:t>
            </w:r>
            <w:r>
              <w:rPr>
                <w:rFonts w:ascii="Times New Roman" w:hAnsi="Times New Roman" w:eastAsia="Times New Roman" w:cs="Times New Roman"/>
                <w:b/>
                <w:bCs w:val="0"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bCs w:val="0"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r>
          </w:p>
        </w:tc>
      </w:tr>
    </w:tbl>
    <w:p>
      <w:pPr>
        <w:shd w:val="nil" w:color="000000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1.</w:t>
        <w:tab/>
        <w:t xml:space="preserve">Внешний осмотр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2.</w:t>
        <w:tab/>
        <w:t xml:space="preserve">Инспекция общего состояния системы смазки ( инспекция системы гидроподьема с замером рабочих характеристик давления насосного оборудования, напорных магистралей)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3.</w:t>
        <w:tab/>
        <w:t xml:space="preserve">Осмотр обогревателей и воздушных каналов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4.</w:t>
        <w:tab/>
        <w:t xml:space="preserve">Инспекция втулок механических насосов на муфте генератора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5.</w:t>
        <w:tab/>
        <w:t xml:space="preserve">Инспекция муфты масленного насоса генератора и примыкающего масленого насоса смазки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6.</w:t>
        <w:tab/>
        <w:t xml:space="preserve">Инспекция уплотнений на впуске воздуха</w:t>
      </w:r>
      <w:r>
        <w:rPr>
          <w:bCs/>
          <w:i w:val="0"/>
          <w:iCs w:val="0"/>
          <w:sz w:val="24"/>
          <w:szCs w:val="24"/>
          <w:highlight w:val="none"/>
        </w:rPr>
        <w:t xml:space="preserve">;;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7.</w:t>
        <w:tab/>
        <w:t xml:space="preserve">Инспекция главных подшипников(концентрация давления, наличие задиров и следов скольжения </w:t>
      </w:r>
      <w:r>
        <w:rPr>
          <w:bCs/>
          <w:i w:val="0"/>
          <w:iCs w:val="0"/>
          <w:sz w:val="24"/>
          <w:szCs w:val="24"/>
          <w:highlight w:val="none"/>
        </w:rPr>
        <w:t xml:space="preserve">(Согласно руководства  № ТР0002025-2 «Эксплуатация и техобслуживание генератора»)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8.</w:t>
        <w:tab/>
        <w:t xml:space="preserve">Измерение индекса поляризации обмотки статора генератора;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9.</w:t>
        <w:tab/>
        <w:t xml:space="preserve">Измерение сопротивления постоянному току обмоток статора генератора (U-V, V-W, U-W) и ротора генератора (F1-F2) - обмотка возбуждения;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10.</w:t>
        <w:tab/>
        <w:t xml:space="preserve">Измерение сопротивления изоляции обмотки ротора генератора (обмотки возбуждения F1-F2);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11.</w:t>
        <w:tab/>
        <w:t xml:space="preserve">Измерение сопротивления постоянному току обмоток возбудителя (ротор: С1, С2, С3; статор: 2F1-2F2)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12.</w:t>
        <w:tab/>
        <w:t xml:space="preserve">Измерение сопротивления изоляции обмоток статора и ротора возбудителя;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13.</w:t>
        <w:tab/>
        <w:t xml:space="preserve">Испытания узла диодов;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14.</w:t>
        <w:tab/>
        <w:t xml:space="preserve">Измерение сопротивления постоянному току обмоток FS1-FS2 статора генератора с постоянными магнитами (PMG);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15.</w:t>
        <w:tab/>
        <w:t xml:space="preserve">Измерение сопротивления изоляции обмотки FS1, FS2-FS3 статора генератора с постоянными магнитами (PMG);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16.</w:t>
        <w:tab/>
        <w:t xml:space="preserve">Осмотр обогревателей генератора на наличие износа, повреждений и проблем с подключением. Измерение сопротивления изоляции цепи обогрева генератора, возбудителя;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17.</w:t>
        <w:tab/>
        <w:t xml:space="preserve">Проверка электрических цепей и соединений;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18.</w:t>
        <w:tab/>
        <w:t xml:space="preserve">Осмотр аккумуляторных батарей;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19.</w:t>
        <w:tab/>
        <w:t xml:space="preserve">Контроль состояния щетки заземления вала генератора;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20.</w:t>
        <w:tab/>
        <w:t xml:space="preserve">Проверка крашенных поверхностей, покраска поврежденных поверхностей;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21.</w:t>
        <w:tab/>
        <w:t xml:space="preserve">Снятие кожуха генератора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22.</w:t>
        <w:tab/>
        <w:t xml:space="preserve">Визуальный контроль главных подшипников на наличие задиров и следов скольжения;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23.</w:t>
        <w:tab/>
        <w:t xml:space="preserve">Очистка подшипников при необходимости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24.</w:t>
        <w:tab/>
        <w:t xml:space="preserve">Проверка зазоров подшипника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25.</w:t>
        <w:tab/>
        <w:t xml:space="preserve">Проверка изоляции подшипников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26.</w:t>
        <w:tab/>
        <w:t xml:space="preserve"> Осмотр и очистка торцевых обмоток статора и ротора от пыли и смазки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27.</w:t>
        <w:tab/>
        <w:t xml:space="preserve">Проверка воздушного зазора статора и ротора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28.</w:t>
        <w:tab/>
        <w:t xml:space="preserve">Удаление скопившейся пыли с вращающихся выпрямителей и основного возбудителя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29.</w:t>
        <w:tab/>
        <w:t xml:space="preserve">Удаления грязи с полюсов ротора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30.</w:t>
        <w:tab/>
        <w:t xml:space="preserve">Проверка воздушных труб на признаки износа ножевых ребер сальников, замена при необходимости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31.</w:t>
        <w:tab/>
        <w:t xml:space="preserve">Проверка давления в воздушном зазоре в промежуточных  уплотнительных отсеках и в главном корпусе подшипника, проверка воздушных труб и уплотнительного зазора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32.</w:t>
        <w:tab/>
        <w:t xml:space="preserve">Установка дистанционного контроля температуры с цифровым прибором и цифропечатающим устройством, количество датчиков до 100: 1 группа сложности ремонтно-наладочных работ - 12 шт. (проверка, калибровка)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3</w:t>
      </w:r>
      <w:r>
        <w:rPr>
          <w:bCs/>
          <w:i w:val="0"/>
          <w:iCs w:val="0"/>
          <w:sz w:val="24"/>
          <w:szCs w:val="24"/>
          <w:highlight w:val="none"/>
        </w:rPr>
        <w:t xml:space="preserve">3.</w:t>
        <w:tab/>
        <w:t xml:space="preserve">Установка дистанционного контроля давления (разряжения) с взаимозаменяемыми дифференциально-трансформаторными датчиками, датчиками с унифицированным выходным сигналом и частотным или ферродинамическим преобразователем: 2 группа сложности ремонтно-наладо</w:t>
      </w:r>
      <w:r>
        <w:rPr>
          <w:bCs/>
          <w:i w:val="0"/>
          <w:iCs w:val="0"/>
          <w:sz w:val="24"/>
          <w:szCs w:val="24"/>
          <w:highlight w:val="none"/>
        </w:rPr>
        <w:t xml:space="preserve">чных работ - 4 шт. (проверка, калибровка)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34.</w:t>
        <w:tab/>
        <w:t xml:space="preserve">Ремонт сборок и панелей напряжением 0,4кВ, тип ПСН: 1 группа сложности  - 1 шт. панель (сборка) (проверка, протяжка контактных соединений, уплотнение сальниковых вводов)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35.</w:t>
        <w:tab/>
        <w:t xml:space="preserve">Установка измерения концентрации газов термохимическим методом: 2 группа сложности ремонта - 1 шт. (проверка, калибровка)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36.</w:t>
        <w:tab/>
        <w:t xml:space="preserve">Установка дистанционного контроля частоты вращения ротора электронным тахометром: 1 группа сложности ремонтно-наладочных работ - 1 шт. (проверка, калибровка)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37.</w:t>
        <w:tab/>
        <w:t xml:space="preserve">Установка дистанционного контроля вибрации с магнитоэлектрическими датчиками: 1 группа сложности ремонтно-наладочных работ - 3 шт. (проверка, калибровка)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38.</w:t>
        <w:tab/>
        <w:t xml:space="preserve">Реле давления калибровка - 4 шт. (проверка, калибровка)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39.</w:t>
        <w:tab/>
        <w:t xml:space="preserve">Установка дистанционного контроля уровня жидкостей в баках, резервуарах - 1 шт. (проверка, калибровка)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40.</w:t>
        <w:tab/>
        <w:t xml:space="preserve">Реле уровня калибровка - 4 шт. (проверка, калибровка)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41.</w:t>
        <w:tab/>
        <w:t xml:space="preserve">Инфракрасные детекторы пламени Х9800 (визуальный осмотр, очистка стекла, замена батареи (102871-001), проверка работоспособности)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42.</w:t>
        <w:tab/>
        <w:t xml:space="preserve">Звуковое оповещение (визуальный осмотр, проверка работоспособности)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43.</w:t>
        <w:tab/>
        <w:t xml:space="preserve">Противопожарные клапана (визуальный осмотр, смазка сухим графитом, проверка работоспособности)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44.</w:t>
        <w:tab/>
        <w:t xml:space="preserve">Проблесковое оповещение (визуальный осмотр, проверка работоспособности)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45.</w:t>
        <w:tab/>
        <w:t xml:space="preserve">Проверка тепловых детекторов (визуальный осмотр, проверка работоспособности)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46.</w:t>
        <w:tab/>
        <w:t xml:space="preserve">Проверка ручного дистанционного пуска (визуальный осмотр, проверка работоспособности)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47.</w:t>
        <w:tab/>
        <w:t xml:space="preserve">Проверка выключателя сброса сирены (визуальный осмотр, проверка работоспособности)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48.</w:t>
        <w:tab/>
        <w:t xml:space="preserve">Проверка дверных контактов (закрытия) двери (визуальный осмотр, очистка при необходимости, проверка работоспособности)</w:t>
      </w:r>
      <w:r>
        <w:rPr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left="0" w:right="426" w:firstLine="0"/>
        <w:jc w:val="both"/>
        <w:shd w:val="nil" w:color="000000"/>
        <w:tabs>
          <w:tab w:val="left" w:pos="283" w:leader="none"/>
          <w:tab w:val="left" w:pos="425" w:leader="none"/>
        </w:tabs>
        <w:rPr>
          <w:bCs w:val="0"/>
          <w:i w:val="0"/>
          <w:sz w:val="24"/>
          <w:szCs w:val="24"/>
          <w:highlight w:val="none"/>
        </w:rPr>
      </w:pPr>
      <w:r>
        <w:rPr>
          <w:bCs/>
          <w:i w:val="0"/>
          <w:iCs w:val="0"/>
          <w:sz w:val="24"/>
          <w:szCs w:val="24"/>
          <w:highlight w:val="none"/>
        </w:rPr>
        <w:t xml:space="preserve">49.</w:t>
        <w:tab/>
        <w:t xml:space="preserve">Комплексная проверка работоспособности системы газового пожаротушения без пуска газа, но сработкой электромагнитных пусковых клапанов (проверка работоспособности)</w:t>
      </w:r>
      <w:r>
        <w:rPr>
          <w:bCs/>
          <w:i w:val="0"/>
          <w:iCs w:val="0"/>
          <w:sz w:val="24"/>
          <w:szCs w:val="24"/>
          <w:highlight w:val="none"/>
        </w:rPr>
        <w:t xml:space="preserve">.</w:t>
      </w:r>
      <w:r>
        <w:rPr>
          <w:bCs w:val="0"/>
          <w:i w:val="0"/>
          <w:sz w:val="24"/>
          <w:szCs w:val="24"/>
          <w:highlight w:val="none"/>
        </w:rPr>
      </w:r>
      <w:r>
        <w:rPr>
          <w:bCs w:val="0"/>
          <w:i w:val="0"/>
          <w:sz w:val="24"/>
          <w:szCs w:val="24"/>
          <w:highlight w:val="none"/>
        </w:rPr>
      </w:r>
    </w:p>
    <w:p>
      <w:pPr>
        <w:shd w:val="nil" w:color="auto"/>
        <w:rPr>
          <w:bCs/>
          <w:i/>
          <w:sz w:val="24"/>
          <w:szCs w:val="24"/>
          <w:highlight w:val="none"/>
        </w:rPr>
      </w:pPr>
      <w:r>
        <w:rPr>
          <w:bCs/>
          <w:i/>
          <w:sz w:val="24"/>
          <w:szCs w:val="24"/>
        </w:rPr>
        <w:br w:type="page" w:clear="all"/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tbl>
      <w:tblPr>
        <w:tblStyle w:val="1165"/>
        <w:tblW w:w="0" w:type="auto"/>
        <w:tblLook w:val="04A0" w:firstRow="1" w:lastRow="0" w:firstColumn="1" w:lastColumn="0" w:noHBand="0" w:noVBand="1"/>
      </w:tblPr>
      <w:tblGrid>
        <w:gridCol w:w="675"/>
        <w:gridCol w:w="5565"/>
        <w:gridCol w:w="1095"/>
        <w:gridCol w:w="1530"/>
        <w:gridCol w:w="1365"/>
      </w:tblGrid>
      <w:tr>
        <w:tblPrEx/>
        <w:trPr>
          <w:trHeight w:val="315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2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Приложение №2 к техническим требованиям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65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30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hd w:val="nil" w:color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white"/>
        </w:rPr>
        <w:t xml:space="preserve">Расчет</w:t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стоимости </w:t>
      </w:r>
      <w:r>
        <w:rPr>
          <w:b/>
          <w:sz w:val="24"/>
          <w:szCs w:val="24"/>
          <w:highlight w:val="white"/>
        </w:rPr>
        <w:t xml:space="preserve">у</w:t>
      </w: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у</w:t>
      </w:r>
      <w:r>
        <w:rPr>
          <w:b/>
          <w:sz w:val="24"/>
          <w:szCs w:val="24"/>
          <w:highlight w:val="white"/>
        </w:rPr>
        <w:t xml:space="preserve">г</w:t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у</w:t>
      </w: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у</w:t>
      </w:r>
      <w:r>
        <w:rPr>
          <w:b/>
          <w:sz w:val="24"/>
          <w:szCs w:val="24"/>
          <w:highlight w:val="white"/>
        </w:rPr>
        <w:t xml:space="preserve">г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0"/>
        <w:jc w:val="center"/>
        <w:spacing w:line="240" w:lineRule="auto"/>
        <w:widowControl w:val="off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tbl>
      <w:tblPr>
        <w:tblStyle w:val="1165"/>
        <w:tblW w:w="99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3"/>
        <w:gridCol w:w="4360"/>
        <w:gridCol w:w="850"/>
        <w:gridCol w:w="1751"/>
        <w:gridCol w:w="2188"/>
      </w:tblGrid>
      <w:tr>
        <w:tblPrEx/>
        <w:trPr>
          <w:trHeight w:val="972"/>
        </w:trPr>
        <w:tc>
          <w:tcPr>
            <w:tcW w:w="773" w:type="dxa"/>
            <w:vAlign w:val="center"/>
            <w:textDirection w:val="lrTb"/>
            <w:noWrap w:val="false"/>
          </w:tcPr>
          <w:p>
            <w:pPr>
              <w:pStyle w:val="120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60" w:type="dxa"/>
            <w:vAlign w:val="center"/>
            <w:textDirection w:val="lrTb"/>
            <w:noWrap w:val="false"/>
          </w:tcPr>
          <w:p>
            <w:pPr>
              <w:pStyle w:val="120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120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Кол-во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751" w:type="dxa"/>
            <w:vAlign w:val="center"/>
            <w:textDirection w:val="lrTb"/>
            <w:noWrap w:val="false"/>
          </w:tcPr>
          <w:p>
            <w:pPr>
              <w:pStyle w:val="120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Цена за ед. (руб., без НДС)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88" w:type="dxa"/>
            <w:vAlign w:val="center"/>
            <w:textDirection w:val="lrTb"/>
            <w:noWrap w:val="false"/>
          </w:tcPr>
          <w:p>
            <w:pPr>
              <w:pStyle w:val="120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Итоговая стоимость (руб., без НДС)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485"/>
        </w:trPr>
        <w:tc>
          <w:tcPr>
            <w:tcW w:w="773" w:type="dxa"/>
            <w:vAlign w:val="center"/>
            <w:textDirection w:val="lrTb"/>
            <w:noWrap w:val="false"/>
          </w:tcPr>
          <w:p>
            <w:pPr>
              <w:pStyle w:val="1208"/>
              <w:numPr>
                <w:ilvl w:val="0"/>
                <w:numId w:val="58"/>
              </w:numPr>
              <w:ind w:left="709" w:right="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360" w:type="dxa"/>
            <w:vAlign w:val="center"/>
            <w:textDirection w:val="lrTb"/>
            <w:noWrap w:val="false"/>
          </w:tcPr>
          <w:p>
            <w:pPr>
              <w:jc w:val="both"/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Оказание услуг по техническому обслуживанию генератора ст. №1 типа BDAX 7-290 ERJT1 в объеме 30000 часов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120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5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8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79"/>
        </w:trPr>
        <w:tc>
          <w:tcPr>
            <w:tcW w:w="773" w:type="dxa"/>
            <w:vAlign w:val="center"/>
            <w:textDirection w:val="lrTb"/>
            <w:noWrap w:val="false"/>
          </w:tcPr>
          <w:p>
            <w:pPr>
              <w:pStyle w:val="1208"/>
              <w:numPr>
                <w:ilvl w:val="0"/>
                <w:numId w:val="5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360" w:type="dxa"/>
            <w:vAlign w:val="center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Оказание услуг по техническому обслуживанию генератора ст. №3 типа BDAX 7-290 ERJT1 в объеме 30000 часов  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120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5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8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8"/>
        </w:trPr>
        <w:tc>
          <w:tcPr>
            <w:tcW w:w="773" w:type="dxa"/>
            <w:vAlign w:val="center"/>
            <w:vMerge w:val="restart"/>
            <w:textDirection w:val="lrTb"/>
            <w:noWrap w:val="false"/>
          </w:tcPr>
          <w:p>
            <w:pPr>
              <w:pStyle w:val="1208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6961" w:type="dxa"/>
            <w:vAlign w:val="center"/>
            <w:vMerge w:val="restart"/>
            <w:textDirection w:val="lrTb"/>
            <w:noWrap w:val="false"/>
          </w:tcPr>
          <w:p>
            <w:pPr>
              <w:pStyle w:val="1208"/>
              <w:ind w:left="0"/>
              <w:jc w:val="right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стоимость руб., без НДС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88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73" w:type="dxa"/>
            <w:vAlign w:val="center"/>
            <w:textDirection w:val="lrTb"/>
            <w:noWrap w:val="false"/>
          </w:tcPr>
          <w:p>
            <w:pPr>
              <w:pStyle w:val="1208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6961" w:type="dxa"/>
            <w:vAlign w:val="center"/>
            <w:textDirection w:val="lrTb"/>
            <w:noWrap w:val="false"/>
          </w:tcPr>
          <w:p>
            <w:pPr>
              <w:pStyle w:val="1208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Кроме того, НДС, руб. (___%)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88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73" w:type="dxa"/>
            <w:vAlign w:val="center"/>
            <w:textDirection w:val="lrTb"/>
            <w:noWrap w:val="false"/>
          </w:tcPr>
          <w:p>
            <w:pPr>
              <w:pStyle w:val="1208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6961" w:type="dxa"/>
            <w:vAlign w:val="center"/>
            <w:textDirection w:val="lrTb"/>
            <w:noWrap w:val="false"/>
          </w:tcPr>
          <w:p>
            <w:pPr>
              <w:pStyle w:val="1208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с НДС, руб.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88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jc w:val="center"/>
        <w:spacing w:line="240" w:lineRule="auto"/>
        <w:widowControl w:val="off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left="0" w:right="0" w:firstLine="709"/>
        <w:jc w:val="both"/>
        <w:widowControl w:val="off"/>
        <w:rPr>
          <w:b w:val="0"/>
          <w:bCs w:val="0"/>
          <w:sz w:val="24"/>
          <w:szCs w:val="24"/>
          <w:highlight w:val="none"/>
        </w:rPr>
        <w:pBdr>
          <w:top w:val="none" w:color="000000" w:sz="4" w:space="9"/>
        </w:pBdr>
      </w:pPr>
      <w:r>
        <w:rPr>
          <w:b w:val="0"/>
          <w:bCs w:val="0"/>
          <w:sz w:val="24"/>
          <w:szCs w:val="24"/>
        </w:rPr>
        <w:t xml:space="preserve">Стоимость услуг указана с учетом всех затрат Исполнителя, в том числе </w:t>
      </w:r>
      <w:r>
        <w:rPr>
          <w:b w:val="0"/>
          <w:bCs w:val="0"/>
          <w:sz w:val="24"/>
          <w:szCs w:val="24"/>
        </w:rPr>
        <w:t xml:space="preserve">накладных и прочих расходов, расходов на прибыль и т.д., является окончательной и пересмотру не подлежит.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850" w:right="567" w:bottom="850" w:left="1417" w:header="680" w:footer="737" w:gutter="0"/>
      <w:cols w:num="1" w:sep="0" w:space="708" w:equalWidth="1"/>
      <w:docGrid w:linePitch="36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panchenko_iv" w:date="2025-09-30T13:51:56Z" w:initials="p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интересное добавление)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проверьте, пожалуйста, расшифровку аббревиатуры КСУИБ выше.</w:t>
      </w:r>
    </w:p>
  </w:comment>
</w:comments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panchenko_iv" w:date="2025-09-30T13:51:56Z" w:initials="p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интересное добавление)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проверьте, пожалуйста, расшифровку аббревиатуры КСУИБ выше.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2" w15:done="1"/>
</w15:commentsEx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2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EC150A0" w16cex:dateUtc="2025-09-30T03:51:56Z"/>
</w16cex:commentsExtensible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AB1887C" w16cex:dateUtc="2025-09-30T03:51:56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2" w16cid:durableId="0EC150A0"/>
</w16cid:commentsIds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2" w16cid:durableId="5AB1887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Calibri">
    <w:panose1 w:val="020F050202020403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61"/>
      <w:jc w:val="center"/>
      <w:rPr>
        <w:highlight w:val="none"/>
      </w:rPr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</w:t>
    </w:r>
    <w:r>
      <w:fldChar w:fldCharType="end"/>
    </w:r>
    <w:r>
      <w:rPr>
        <w:highlight w:val="none"/>
      </w:rPr>
    </w:r>
    <w:r>
      <w:rPr>
        <w:highlight w:val="none"/>
      </w:rPr>
    </w:r>
  </w:p>
  <w:p>
    <w:pPr>
      <w:pStyle w:val="1161"/>
      <w:jc w:val="center"/>
    </w:pPr>
    <w:r>
      <w:rPr>
        <w:highlight w:val="none"/>
      </w:rPr>
    </w:r>
    <w:r>
      <w:rPr>
        <w:highlight w:val="none"/>
      </w:rPr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61"/>
      <w:rPr>
        <w:rStyle w:val="1181"/>
      </w:rPr>
      <w:framePr w:wrap="around" w:vAnchor="text" w:hAnchor="margin" w:xAlign="center" w:y="1"/>
    </w:pPr>
    <w:r>
      <w:rPr>
        <w:rStyle w:val="1181"/>
      </w:rPr>
      <w:fldChar w:fldCharType="begin"/>
    </w:r>
    <w:r>
      <w:rPr>
        <w:rStyle w:val="1181"/>
      </w:rPr>
      <w:instrText xml:space="preserve">PAGE  </w:instrText>
    </w:r>
    <w:r>
      <w:rPr>
        <w:rStyle w:val="1181"/>
      </w:rPr>
      <w:fldChar w:fldCharType="end"/>
    </w:r>
    <w:r>
      <w:rPr>
        <w:rStyle w:val="1181"/>
      </w:rPr>
    </w:r>
    <w:r>
      <w:rPr>
        <w:rStyle w:val="1181"/>
      </w:rPr>
    </w:r>
  </w:p>
  <w:p>
    <w:pPr>
      <w:pStyle w:val="1161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61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61"/>
      <w:jc w:val="center"/>
      <w:rPr>
        <w:highlight w:val="none"/>
      </w:rPr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10</w:t>
    </w:r>
    <w:r>
      <w:fldChar w:fldCharType="end"/>
    </w:r>
    <w:r>
      <w:rPr>
        <w:highlight w:val="none"/>
      </w:rPr>
    </w:r>
    <w:r>
      <w:rPr>
        <w:highlight w:val="none"/>
      </w:rPr>
    </w:r>
  </w:p>
  <w:p>
    <w:pPr>
      <w:pStyle w:val="1161"/>
      <w:jc w:val="center"/>
    </w:pPr>
    <w:r>
      <w:rPr>
        <w:highlight w:val="none"/>
      </w:rPr>
    </w:r>
    <w:r>
      <w:rPr>
        <w:highlight w:val="none"/>
      </w:rPr>
    </w:r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61"/>
      <w:rPr>
        <w:rStyle w:val="1181"/>
      </w:rPr>
      <w:framePr w:wrap="around" w:vAnchor="text" w:hAnchor="margin" w:xAlign="center" w:y="1"/>
    </w:pPr>
    <w:r>
      <w:rPr>
        <w:rStyle w:val="1181"/>
      </w:rPr>
      <w:fldChar w:fldCharType="begin"/>
    </w:r>
    <w:r>
      <w:rPr>
        <w:rStyle w:val="1181"/>
      </w:rPr>
      <w:instrText xml:space="preserve">PAGE  </w:instrText>
    </w:r>
    <w:r>
      <w:rPr>
        <w:rStyle w:val="1181"/>
      </w:rPr>
      <w:fldChar w:fldCharType="end"/>
    </w:r>
    <w:r>
      <w:rPr>
        <w:rStyle w:val="1181"/>
      </w:rPr>
    </w:r>
    <w:r>
      <w:rPr>
        <w:rStyle w:val="1181"/>
      </w:rPr>
    </w:r>
  </w:p>
  <w:p>
    <w:pPr>
      <w:pStyle w:val="1161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4"/>
      <w:jc w:val="center"/>
    </w:pPr>
    <w:fldSimple w:instr="PAGE \* MERGEFORMAT">
      <w:r>
        <w:t xml:space="preserve">1</w:t>
      </w:r>
    </w:fldSimple>
    <w:r/>
    <w:r/>
  </w:p>
  <w:p>
    <w:pPr>
      <w:pStyle w:val="96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bullet"/>
      <w:pStyle w:val="1223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224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222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240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241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244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242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24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pStyle w:val="1260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pStyle w:val="115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153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pStyle w:val="986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pStyle w:val="989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88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styleLink w:val="1234"/>
    <w:lvl w:ilvl="0">
      <w:start w:val="1"/>
      <w:numFmt w:val="decimal"/>
      <w:pStyle w:val="1234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67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0"/>
        <w:szCs w:val="2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pStyle w:val="1250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857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styleLink w:val="1231"/>
    <w:lvl w:ilvl="0">
      <w:start w:val="3"/>
      <w:numFmt w:val="decimal"/>
      <w:pStyle w:val="1231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bullet"/>
      <w:isLgl w:val="false"/>
      <w:suff w:val="tab"/>
      <w:lvlText w:val=""/>
      <w:lvlJc w:val="left"/>
      <w:pPr>
        <w:ind w:left="1224" w:hanging="504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decimal"/>
      <w:pStyle w:val="952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55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2"/>
        <w:szCs w:val="28"/>
      </w:rPr>
    </w:lvl>
    <w:lvl w:ilvl="2">
      <w:start w:val="1"/>
      <w:numFmt w:val="decimal"/>
      <w:pStyle w:val="954"/>
      <w:isLgl w:val="false"/>
      <w:suff w:val="tab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pStyle w:val="952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55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2"/>
        <w:szCs w:val="28"/>
      </w:rPr>
    </w:lvl>
    <w:lvl w:ilvl="2">
      <w:start w:val="1"/>
      <w:numFmt w:val="decimal"/>
      <w:pStyle w:val="954"/>
      <w:isLgl w:val="false"/>
      <w:suff w:val="tab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pStyle w:val="952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55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2"/>
        <w:szCs w:val="28"/>
      </w:rPr>
    </w:lvl>
    <w:lvl w:ilvl="2">
      <w:start w:val="1"/>
      <w:numFmt w:val="decimal"/>
      <w:pStyle w:val="954"/>
      <w:isLgl w:val="false"/>
      <w:suff w:val="tab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50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93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3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4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44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4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5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29" w:hanging="144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87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59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31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03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5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47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19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1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639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  <w:b w:val="0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4">
    <w:multiLevelType w:val="hybridMultilevel"/>
    <w:lvl w:ilvl="0">
      <w:start w:val="22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5">
    <w:multiLevelType w:val="hybridMultilevel"/>
    <w:lvl w:ilvl="0">
      <w:start w:val="35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6">
    <w:multiLevelType w:val="hybridMultilevel"/>
    <w:lvl w:ilvl="0">
      <w:start w:val="42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7">
    <w:multiLevelType w:val="hybridMultilevel"/>
    <w:lvl w:ilvl="0">
      <w:start w:val="45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8">
    <w:multiLevelType w:val="hybridMultilevel"/>
    <w:lvl w:ilvl="0">
      <w:start w:val="55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9">
    <w:multiLevelType w:val="hybridMultilevel"/>
    <w:lvl w:ilvl="0">
      <w:start w:val="62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8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8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8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 w:ascii="Times New Roman" w:hAnsi="Times New Roman" w:eastAsia="Times New Roman" w:cs="Times New Roman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8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 w:ascii="Times New Roman" w:hAnsi="Times New Roman" w:eastAsia="Times New Roman" w:cs="Times New Roman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8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 w:ascii="Times New Roman" w:hAnsi="Times New Roman" w:eastAsia="Times New Roman" w:cs="Times New Roman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8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 w:ascii="Times New Roman" w:hAnsi="Times New Roman" w:eastAsia="Times New Roman" w:cs="Times New Roman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8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 w:ascii="Times New Roman" w:hAnsi="Times New Roman" w:eastAsia="Times New Roman" w:cs="Times New Roman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 w:ascii="Times New Roman" w:hAnsi="Times New Roman" w:eastAsia="Times New Roman" w:cs="Times New Roman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9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20" w:hanging="360"/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4"/>
  </w:num>
  <w:num w:numId="4">
    <w:abstractNumId w:val="7"/>
  </w:num>
  <w:num w:numId="5">
    <w:abstractNumId w:val="9"/>
  </w:num>
  <w:num w:numId="6">
    <w:abstractNumId w:val="2"/>
  </w:num>
  <w:num w:numId="7">
    <w:abstractNumId w:val="11"/>
  </w:num>
  <w:num w:numId="8">
    <w:abstractNumId w:val="12"/>
  </w:num>
  <w:num w:numId="9">
    <w:abstractNumId w:val="20"/>
  </w:num>
  <w:num w:numId="10">
    <w:abstractNumId w:val="8"/>
  </w:num>
  <w:num w:numId="11">
    <w:abstractNumId w:val="4"/>
  </w:num>
  <w:num w:numId="12">
    <w:abstractNumId w:val="18"/>
  </w:num>
  <w:num w:numId="13">
    <w:abstractNumId w:val="17"/>
  </w:num>
  <w:num w:numId="14">
    <w:abstractNumId w:val="16"/>
  </w:num>
  <w:num w:numId="15">
    <w:abstractNumId w:val="3"/>
  </w:num>
  <w:num w:numId="16">
    <w:abstractNumId w:val="13"/>
  </w:num>
  <w:num w:numId="17">
    <w:abstractNumId w:val="19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"/>
  </w:num>
  <w:num w:numId="21">
    <w:abstractNumId w:val="6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  <w:num w:numId="87">
    <w:abstractNumId w:val="86"/>
  </w:num>
  <w:num w:numId="88">
    <w:abstractNumId w:val="87"/>
  </w:num>
  <w:num w:numId="89">
    <w:abstractNumId w:val="88"/>
  </w:num>
  <w:num w:numId="90">
    <w:abstractNumId w:val="89"/>
  </w:num>
  <w:num w:numId="91">
    <w:abstractNumId w:val="9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nchenko_iv">
    <w15:presenceInfo w15:providerId="Teamlab" w15:userId="panchenko_iv"/>
  </w15:person>
</w15:people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nchenko_iv">
    <w15:presenceInfo w15:providerId="Teamlab" w15:userId="panchenko_i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ind w:left="0" w:right="0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40">
    <w:name w:val="Heading 1 Char"/>
    <w:basedOn w:val="961"/>
    <w:link w:val="952"/>
    <w:uiPriority w:val="9"/>
    <w:rPr>
      <w:rFonts w:ascii="Arial" w:hAnsi="Arial" w:eastAsia="Arial" w:cs="Arial"/>
      <w:sz w:val="40"/>
      <w:szCs w:val="40"/>
    </w:rPr>
  </w:style>
  <w:style w:type="character" w:styleId="941">
    <w:name w:val="Heading 2 Char"/>
    <w:basedOn w:val="961"/>
    <w:link w:val="953"/>
    <w:uiPriority w:val="9"/>
    <w:rPr>
      <w:rFonts w:ascii="Arial" w:hAnsi="Arial" w:eastAsia="Arial" w:cs="Arial"/>
      <w:sz w:val="34"/>
    </w:rPr>
  </w:style>
  <w:style w:type="character" w:styleId="942">
    <w:name w:val="Heading 3 Char"/>
    <w:basedOn w:val="961"/>
    <w:link w:val="954"/>
    <w:uiPriority w:val="9"/>
    <w:rPr>
      <w:rFonts w:ascii="Arial" w:hAnsi="Arial" w:eastAsia="Arial" w:cs="Arial"/>
      <w:sz w:val="30"/>
      <w:szCs w:val="30"/>
    </w:rPr>
  </w:style>
  <w:style w:type="character" w:styleId="943">
    <w:name w:val="Heading 4 Char"/>
    <w:basedOn w:val="961"/>
    <w:link w:val="955"/>
    <w:uiPriority w:val="9"/>
    <w:rPr>
      <w:rFonts w:ascii="Arial" w:hAnsi="Arial" w:eastAsia="Arial" w:cs="Arial"/>
      <w:b/>
      <w:bCs/>
      <w:sz w:val="26"/>
      <w:szCs w:val="26"/>
    </w:rPr>
  </w:style>
  <w:style w:type="character" w:styleId="944">
    <w:name w:val="Heading 5 Char"/>
    <w:basedOn w:val="961"/>
    <w:link w:val="956"/>
    <w:uiPriority w:val="9"/>
    <w:rPr>
      <w:rFonts w:ascii="Arial" w:hAnsi="Arial" w:eastAsia="Arial" w:cs="Arial"/>
      <w:b/>
      <w:bCs/>
      <w:sz w:val="24"/>
      <w:szCs w:val="24"/>
    </w:rPr>
  </w:style>
  <w:style w:type="character" w:styleId="945">
    <w:name w:val="Heading 6 Char"/>
    <w:basedOn w:val="961"/>
    <w:link w:val="957"/>
    <w:uiPriority w:val="9"/>
    <w:rPr>
      <w:rFonts w:ascii="Arial" w:hAnsi="Arial" w:eastAsia="Arial" w:cs="Arial"/>
      <w:b/>
      <w:bCs/>
      <w:sz w:val="22"/>
      <w:szCs w:val="22"/>
    </w:rPr>
  </w:style>
  <w:style w:type="character" w:styleId="946">
    <w:name w:val="Heading 7 Char"/>
    <w:basedOn w:val="961"/>
    <w:link w:val="95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47">
    <w:name w:val="Heading 8 Char"/>
    <w:basedOn w:val="961"/>
    <w:link w:val="959"/>
    <w:uiPriority w:val="9"/>
    <w:rPr>
      <w:rFonts w:ascii="Arial" w:hAnsi="Arial" w:eastAsia="Arial" w:cs="Arial"/>
      <w:i/>
      <w:iCs/>
      <w:sz w:val="22"/>
      <w:szCs w:val="22"/>
    </w:rPr>
  </w:style>
  <w:style w:type="character" w:styleId="948">
    <w:name w:val="Heading 9 Char"/>
    <w:basedOn w:val="961"/>
    <w:link w:val="960"/>
    <w:uiPriority w:val="9"/>
    <w:rPr>
      <w:rFonts w:ascii="Arial" w:hAnsi="Arial" w:eastAsia="Arial" w:cs="Arial"/>
      <w:i/>
      <w:iCs/>
      <w:sz w:val="21"/>
      <w:szCs w:val="21"/>
    </w:rPr>
  </w:style>
  <w:style w:type="character" w:styleId="949">
    <w:name w:val="Header Char"/>
    <w:basedOn w:val="961"/>
    <w:link w:val="964"/>
    <w:uiPriority w:val="99"/>
  </w:style>
  <w:style w:type="character" w:styleId="950">
    <w:name w:val="Caption Char"/>
    <w:basedOn w:val="966"/>
    <w:link w:val="965"/>
    <w:uiPriority w:val="99"/>
  </w:style>
  <w:style w:type="paragraph" w:styleId="951" w:default="1">
    <w:name w:val="Normal"/>
    <w:qFormat/>
    <w:pPr>
      <w:ind w:firstLine="0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52">
    <w:name w:val="Heading 1"/>
    <w:basedOn w:val="951"/>
    <w:next w:val="951"/>
    <w:link w:val="100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953">
    <w:name w:val="Heading 2"/>
    <w:basedOn w:val="951"/>
    <w:next w:val="951"/>
    <w:link w:val="100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954">
    <w:name w:val="Heading 3"/>
    <w:basedOn w:val="951"/>
    <w:next w:val="951"/>
    <w:link w:val="100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955">
    <w:name w:val="Heading 4"/>
    <w:basedOn w:val="951"/>
    <w:next w:val="951"/>
    <w:link w:val="100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956">
    <w:name w:val="Heading 5"/>
    <w:basedOn w:val="951"/>
    <w:next w:val="951"/>
    <w:link w:val="101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957">
    <w:name w:val="Heading 6"/>
    <w:basedOn w:val="951"/>
    <w:next w:val="951"/>
    <w:link w:val="10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958">
    <w:name w:val="Heading 7"/>
    <w:basedOn w:val="951"/>
    <w:next w:val="951"/>
    <w:link w:val="101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59">
    <w:name w:val="Heading 8"/>
    <w:basedOn w:val="951"/>
    <w:next w:val="951"/>
    <w:link w:val="101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60">
    <w:name w:val="Heading 9"/>
    <w:basedOn w:val="951"/>
    <w:next w:val="951"/>
    <w:link w:val="101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61" w:default="1">
    <w:name w:val="Default Paragraph Font"/>
    <w:uiPriority w:val="1"/>
    <w:semiHidden/>
    <w:unhideWhenUsed/>
  </w:style>
  <w:style w:type="table" w:styleId="9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3" w:default="1">
    <w:name w:val="No List"/>
    <w:uiPriority w:val="99"/>
    <w:semiHidden/>
    <w:unhideWhenUsed/>
  </w:style>
  <w:style w:type="paragraph" w:styleId="964">
    <w:name w:val="Header"/>
    <w:basedOn w:val="951"/>
    <w:link w:val="1020"/>
    <w:uiPriority w:val="99"/>
    <w:unhideWhenUsed/>
    <w:pPr>
      <w:tabs>
        <w:tab w:val="center" w:pos="7143" w:leader="none"/>
        <w:tab w:val="right" w:pos="14287" w:leader="none"/>
      </w:tabs>
    </w:pPr>
  </w:style>
  <w:style w:type="paragraph" w:styleId="965">
    <w:name w:val="Footer"/>
    <w:basedOn w:val="951"/>
    <w:link w:val="1005"/>
    <w:uiPriority w:val="99"/>
    <w:unhideWhenUsed/>
    <w:pPr>
      <w:tabs>
        <w:tab w:val="center" w:pos="7143" w:leader="none"/>
        <w:tab w:val="right" w:pos="14287" w:leader="none"/>
      </w:tabs>
    </w:pPr>
  </w:style>
  <w:style w:type="paragraph" w:styleId="966">
    <w:name w:val="Caption"/>
    <w:basedOn w:val="951"/>
    <w:next w:val="951"/>
    <w:link w:val="95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table" w:styleId="967">
    <w:name w:val="Plain Table 1"/>
    <w:basedOn w:val="96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8">
    <w:name w:val="Plain Table 2"/>
    <w:basedOn w:val="96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9">
    <w:name w:val="Plain Table 3"/>
    <w:basedOn w:val="96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70">
    <w:name w:val="Plain Table 4"/>
    <w:basedOn w:val="96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Plain Table 5"/>
    <w:basedOn w:val="96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72">
    <w:name w:val="Grid Table 1 Light"/>
    <w:basedOn w:val="96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Grid Table 2"/>
    <w:basedOn w:val="96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Grid Table 3"/>
    <w:basedOn w:val="96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Grid Table 4"/>
    <w:basedOn w:val="96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76">
    <w:name w:val="Grid Table 5 Dark"/>
    <w:basedOn w:val="96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77">
    <w:name w:val="Grid Table 6 Colorful"/>
    <w:basedOn w:val="96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78">
    <w:name w:val="Grid Table 7 Colorful"/>
    <w:basedOn w:val="96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79">
    <w:name w:val="List Table 1 Light"/>
    <w:basedOn w:val="96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List Table 2"/>
    <w:basedOn w:val="96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81">
    <w:name w:val="List Table 3"/>
    <w:basedOn w:val="96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"/>
    <w:basedOn w:val="96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5 Dark"/>
    <w:basedOn w:val="96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84">
    <w:name w:val="List Table 6 Colorful"/>
    <w:basedOn w:val="96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85">
    <w:name w:val="List Table 7 Colorful"/>
    <w:basedOn w:val="96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paragraph" w:styleId="986" w:customStyle="1">
    <w:name w:val="Заголовок 11"/>
    <w:basedOn w:val="988"/>
    <w:next w:val="951"/>
    <w:link w:val="995"/>
    <w:qFormat/>
    <w:pPr>
      <w:numPr>
        <w:ilvl w:val="0"/>
      </w:numPr>
      <w:outlineLvl w:val="0"/>
    </w:pPr>
    <w:rPr>
      <w:sz w:val="28"/>
      <w:szCs w:val="28"/>
    </w:rPr>
  </w:style>
  <w:style w:type="paragraph" w:styleId="987" w:customStyle="1">
    <w:name w:val="Заголовок 21"/>
    <w:basedOn w:val="989"/>
    <w:next w:val="951"/>
    <w:link w:val="996"/>
    <w:qFormat/>
    <w:pPr>
      <w:outlineLvl w:val="1"/>
    </w:pPr>
  </w:style>
  <w:style w:type="paragraph" w:styleId="988" w:customStyle="1">
    <w:name w:val="Заголовок 31"/>
    <w:basedOn w:val="951"/>
    <w:next w:val="951"/>
    <w:link w:val="997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89" w:customStyle="1">
    <w:name w:val="Заголовок 41"/>
    <w:basedOn w:val="988"/>
    <w:next w:val="951"/>
    <w:link w:val="998"/>
    <w:qFormat/>
    <w:pPr>
      <w:numPr>
        <w:ilvl w:val="1"/>
      </w:numPr>
      <w:outlineLvl w:val="3"/>
    </w:pPr>
    <w:rPr>
      <w:bCs/>
    </w:rPr>
  </w:style>
  <w:style w:type="paragraph" w:styleId="990" w:customStyle="1">
    <w:name w:val="Заголовок 51"/>
    <w:basedOn w:val="951"/>
    <w:next w:val="951"/>
    <w:link w:val="999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91" w:customStyle="1">
    <w:name w:val="Заголовок 61"/>
    <w:basedOn w:val="951"/>
    <w:next w:val="951"/>
    <w:link w:val="1000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92" w:customStyle="1">
    <w:name w:val="Заголовок 71"/>
    <w:basedOn w:val="951"/>
    <w:next w:val="951"/>
    <w:link w:val="1001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93" w:customStyle="1">
    <w:name w:val="Заголовок 81"/>
    <w:basedOn w:val="951"/>
    <w:next w:val="951"/>
    <w:link w:val="1002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94" w:customStyle="1">
    <w:name w:val="Заголовок 91"/>
    <w:basedOn w:val="951"/>
    <w:next w:val="951"/>
    <w:link w:val="1003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95" w:customStyle="1">
    <w:name w:val="Заголовок 1 Знак"/>
    <w:basedOn w:val="961"/>
    <w:link w:val="986"/>
    <w:rPr>
      <w:rFonts w:ascii="Times New Roman" w:hAnsi="Times New Roman" w:eastAsia="Calibri" w:cs="Times New Roman"/>
      <w:b/>
      <w:sz w:val="28"/>
      <w:szCs w:val="28"/>
      <w:lang w:eastAsia="ru-RU"/>
    </w:rPr>
  </w:style>
  <w:style w:type="character" w:styleId="996" w:customStyle="1">
    <w:name w:val="Заголовок 2 Знак"/>
    <w:basedOn w:val="961"/>
    <w:link w:val="987"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997" w:customStyle="1">
    <w:name w:val="Заголовок 3 Знак"/>
    <w:basedOn w:val="961"/>
    <w:link w:val="988"/>
    <w:rPr>
      <w:rFonts w:ascii="Times New Roman" w:hAnsi="Times New Roman" w:eastAsia="Calibri" w:cs="Times New Roman"/>
      <w:b/>
      <w:sz w:val="24"/>
      <w:szCs w:val="24"/>
      <w:lang w:eastAsia="ru-RU"/>
    </w:rPr>
  </w:style>
  <w:style w:type="character" w:styleId="998" w:customStyle="1">
    <w:name w:val="Заголовок 4 Знак"/>
    <w:basedOn w:val="961"/>
    <w:link w:val="989"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999" w:customStyle="1">
    <w:name w:val="Заголовок 5 Знак"/>
    <w:basedOn w:val="961"/>
    <w:link w:val="990"/>
    <w:uiPriority w:val="9"/>
    <w:rPr>
      <w:rFonts w:ascii="Times New Roman" w:hAnsi="Times New Roman" w:eastAsia="Times New Roman" w:cs="Times New Roman"/>
      <w:b/>
      <w:bCs/>
      <w:i/>
      <w:iCs/>
      <w:sz w:val="26"/>
      <w:szCs w:val="26"/>
      <w:lang w:eastAsia="ru-RU"/>
    </w:rPr>
  </w:style>
  <w:style w:type="character" w:styleId="1000" w:customStyle="1">
    <w:name w:val="Заголовок 6 Знак"/>
    <w:basedOn w:val="961"/>
    <w:link w:val="991"/>
    <w:uiPriority w:val="9"/>
    <w:rPr>
      <w:rFonts w:ascii="Cambria" w:hAnsi="Cambria" w:eastAsia="Times New Roman" w:cs="Times New Roman"/>
      <w:i/>
      <w:iCs/>
      <w:color w:val="243f60"/>
      <w:sz w:val="20"/>
      <w:szCs w:val="20"/>
      <w:lang w:eastAsia="ru-RU"/>
    </w:rPr>
  </w:style>
  <w:style w:type="character" w:styleId="1001" w:customStyle="1">
    <w:name w:val="Заголовок 7 Знак"/>
    <w:basedOn w:val="961"/>
    <w:link w:val="992"/>
    <w:uiPriority w:val="9"/>
    <w:rPr>
      <w:rFonts w:ascii="Cambria" w:hAnsi="Cambria" w:eastAsia="Times New Roman" w:cs="Times New Roman"/>
      <w:i/>
      <w:iCs/>
      <w:color w:val="404040"/>
      <w:sz w:val="20"/>
      <w:szCs w:val="20"/>
      <w:lang w:eastAsia="ru-RU"/>
    </w:rPr>
  </w:style>
  <w:style w:type="character" w:styleId="1002" w:customStyle="1">
    <w:name w:val="Заголовок 8 Знак"/>
    <w:basedOn w:val="961"/>
    <w:link w:val="993"/>
    <w:uiPriority w:val="9"/>
    <w:rPr>
      <w:rFonts w:ascii="Cambria" w:hAnsi="Cambria" w:eastAsia="Times New Roman" w:cs="Times New Roman"/>
      <w:color w:val="4f81bd"/>
      <w:sz w:val="20"/>
      <w:szCs w:val="20"/>
      <w:lang w:eastAsia="ru-RU"/>
    </w:rPr>
  </w:style>
  <w:style w:type="character" w:styleId="1003" w:customStyle="1">
    <w:name w:val="Заголовок 9 Знак"/>
    <w:basedOn w:val="961"/>
    <w:link w:val="994"/>
    <w:uiPriority w:val="9"/>
    <w:rPr>
      <w:rFonts w:ascii="Arial" w:hAnsi="Arial" w:eastAsia="Times New Roman" w:cs="Times New Roman"/>
      <w:lang w:eastAsia="ru-RU"/>
    </w:rPr>
  </w:style>
  <w:style w:type="character" w:styleId="1004" w:customStyle="1">
    <w:name w:val="Title Char"/>
    <w:basedOn w:val="961"/>
    <w:uiPriority w:val="10"/>
    <w:rPr>
      <w:sz w:val="48"/>
      <w:szCs w:val="48"/>
    </w:rPr>
  </w:style>
  <w:style w:type="character" w:styleId="1005" w:customStyle="1">
    <w:name w:val="Нижний колонтитул Знак2"/>
    <w:link w:val="965"/>
    <w:uiPriority w:val="99"/>
  </w:style>
  <w:style w:type="character" w:styleId="1006" w:customStyle="1">
    <w:name w:val="Заголовок 1 Знак1"/>
    <w:basedOn w:val="961"/>
    <w:link w:val="952"/>
    <w:uiPriority w:val="9"/>
    <w:rPr>
      <w:rFonts w:ascii="Arial" w:hAnsi="Arial" w:eastAsia="Arial" w:cs="Arial"/>
      <w:sz w:val="40"/>
      <w:szCs w:val="40"/>
    </w:rPr>
  </w:style>
  <w:style w:type="character" w:styleId="1007" w:customStyle="1">
    <w:name w:val="Заголовок 2 Знак1"/>
    <w:basedOn w:val="961"/>
    <w:link w:val="953"/>
    <w:uiPriority w:val="9"/>
    <w:rPr>
      <w:rFonts w:ascii="Arial" w:hAnsi="Arial" w:eastAsia="Arial" w:cs="Arial"/>
      <w:sz w:val="34"/>
    </w:rPr>
  </w:style>
  <w:style w:type="character" w:styleId="1008" w:customStyle="1">
    <w:name w:val="Заголовок 3 Знак1"/>
    <w:basedOn w:val="961"/>
    <w:link w:val="954"/>
    <w:uiPriority w:val="9"/>
    <w:rPr>
      <w:rFonts w:ascii="Arial" w:hAnsi="Arial" w:eastAsia="Arial" w:cs="Arial"/>
      <w:sz w:val="30"/>
      <w:szCs w:val="30"/>
    </w:rPr>
  </w:style>
  <w:style w:type="character" w:styleId="1009" w:customStyle="1">
    <w:name w:val="Заголовок 4 Знак1"/>
    <w:basedOn w:val="961"/>
    <w:link w:val="955"/>
    <w:uiPriority w:val="9"/>
    <w:rPr>
      <w:rFonts w:ascii="Arial" w:hAnsi="Arial" w:eastAsia="Arial" w:cs="Arial"/>
      <w:b/>
      <w:bCs/>
      <w:sz w:val="26"/>
      <w:szCs w:val="26"/>
    </w:rPr>
  </w:style>
  <w:style w:type="character" w:styleId="1010" w:customStyle="1">
    <w:name w:val="Заголовок 5 Знак1"/>
    <w:basedOn w:val="961"/>
    <w:link w:val="956"/>
    <w:uiPriority w:val="9"/>
    <w:rPr>
      <w:rFonts w:ascii="Arial" w:hAnsi="Arial" w:eastAsia="Arial" w:cs="Arial"/>
      <w:b/>
      <w:bCs/>
      <w:sz w:val="24"/>
      <w:szCs w:val="24"/>
    </w:rPr>
  </w:style>
  <w:style w:type="character" w:styleId="1011" w:customStyle="1">
    <w:name w:val="Заголовок 6 Знак1"/>
    <w:basedOn w:val="961"/>
    <w:link w:val="957"/>
    <w:uiPriority w:val="9"/>
    <w:rPr>
      <w:rFonts w:ascii="Arial" w:hAnsi="Arial" w:eastAsia="Arial" w:cs="Arial"/>
      <w:b/>
      <w:bCs/>
      <w:sz w:val="22"/>
      <w:szCs w:val="22"/>
    </w:rPr>
  </w:style>
  <w:style w:type="character" w:styleId="1012" w:customStyle="1">
    <w:name w:val="Заголовок 7 Знак1"/>
    <w:basedOn w:val="961"/>
    <w:link w:val="95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013" w:customStyle="1">
    <w:name w:val="Заголовок 8 Знак1"/>
    <w:basedOn w:val="961"/>
    <w:link w:val="959"/>
    <w:uiPriority w:val="9"/>
    <w:rPr>
      <w:rFonts w:ascii="Arial" w:hAnsi="Arial" w:eastAsia="Arial" w:cs="Arial"/>
      <w:i/>
      <w:iCs/>
      <w:sz w:val="22"/>
      <w:szCs w:val="22"/>
    </w:rPr>
  </w:style>
  <w:style w:type="character" w:styleId="1014" w:customStyle="1">
    <w:name w:val="Заголовок 9 Знак1"/>
    <w:basedOn w:val="961"/>
    <w:link w:val="960"/>
    <w:uiPriority w:val="9"/>
    <w:rPr>
      <w:rFonts w:ascii="Arial" w:hAnsi="Arial" w:eastAsia="Arial" w:cs="Arial"/>
      <w:i/>
      <w:iCs/>
      <w:sz w:val="21"/>
      <w:szCs w:val="21"/>
    </w:rPr>
  </w:style>
  <w:style w:type="paragraph" w:styleId="1015">
    <w:name w:val="Title"/>
    <w:basedOn w:val="951"/>
    <w:next w:val="951"/>
    <w:link w:val="101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016" w:customStyle="1">
    <w:name w:val="Заголовок Знак"/>
    <w:basedOn w:val="961"/>
    <w:link w:val="1015"/>
    <w:uiPriority w:val="10"/>
    <w:rPr>
      <w:rFonts w:ascii="Times New Roman" w:hAnsi="Times New Roman" w:eastAsia="Times New Roman" w:cs="Times New Roman"/>
      <w:sz w:val="48"/>
      <w:szCs w:val="48"/>
      <w:lang w:eastAsia="ru-RU"/>
    </w:rPr>
  </w:style>
  <w:style w:type="character" w:styleId="1017" w:customStyle="1">
    <w:name w:val="Subtitle Char"/>
    <w:basedOn w:val="961"/>
    <w:uiPriority w:val="11"/>
    <w:rPr>
      <w:sz w:val="24"/>
      <w:szCs w:val="24"/>
    </w:rPr>
  </w:style>
  <w:style w:type="character" w:styleId="1018" w:customStyle="1">
    <w:name w:val="Quote Char"/>
    <w:uiPriority w:val="29"/>
    <w:rPr>
      <w:i/>
    </w:rPr>
  </w:style>
  <w:style w:type="character" w:styleId="1019" w:customStyle="1">
    <w:name w:val="Intense Quote Char"/>
    <w:uiPriority w:val="30"/>
    <w:rPr>
      <w:i/>
    </w:rPr>
  </w:style>
  <w:style w:type="character" w:styleId="1020" w:customStyle="1">
    <w:name w:val="Верхний колонтитул Знак1"/>
    <w:basedOn w:val="961"/>
    <w:link w:val="964"/>
    <w:uiPriority w:val="99"/>
  </w:style>
  <w:style w:type="character" w:styleId="1021" w:customStyle="1">
    <w:name w:val="Footer Char"/>
    <w:basedOn w:val="961"/>
    <w:uiPriority w:val="99"/>
  </w:style>
  <w:style w:type="character" w:styleId="1022" w:customStyle="1">
    <w:name w:val="Нижний колонтитул Знак"/>
    <w:link w:val="1166"/>
    <w:uiPriority w:val="99"/>
  </w:style>
  <w:style w:type="table" w:styleId="1023" w:customStyle="1">
    <w:name w:val="Table Grid Light"/>
    <w:basedOn w:val="962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024" w:customStyle="1">
    <w:name w:val="Таблица простая 11"/>
    <w:basedOn w:val="962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25" w:customStyle="1">
    <w:name w:val="Таблица простая 21"/>
    <w:basedOn w:val="962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26" w:customStyle="1">
    <w:name w:val="Таблица простая 3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27" w:customStyle="1">
    <w:name w:val="Таблица простая 4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8" w:customStyle="1">
    <w:name w:val="Таблица простая 5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29" w:customStyle="1">
    <w:name w:val="Таблица-сетка 1 светлая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0" w:customStyle="1">
    <w:name w:val="Grid Table 1 Light - Accent 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1" w:customStyle="1">
    <w:name w:val="Grid Table 1 Light - Accent 2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2" w:customStyle="1">
    <w:name w:val="Grid Table 1 Light - Accent 3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3" w:customStyle="1">
    <w:name w:val="Grid Table 1 Light - Accent 4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4" w:customStyle="1">
    <w:name w:val="Grid Table 1 Light - Accent 5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5" w:customStyle="1">
    <w:name w:val="Grid Table 1 Light - Accent 6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6" w:customStyle="1">
    <w:name w:val="Таблица-сетка 2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7" w:customStyle="1">
    <w:name w:val="Grid Table 2 - Accent 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8" w:customStyle="1">
    <w:name w:val="Grid Table 2 - Accent 2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9" w:customStyle="1">
    <w:name w:val="Grid Table 2 - Accent 3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0" w:customStyle="1">
    <w:name w:val="Grid Table 2 - Accent 4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1" w:customStyle="1">
    <w:name w:val="Grid Table 2 - Accent 5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2" w:customStyle="1">
    <w:name w:val="Grid Table 2 - Accent 6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3" w:customStyle="1">
    <w:name w:val="Таблица-сетка 3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 w:customStyle="1">
    <w:name w:val="Grid Table 3 - Accent 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 w:customStyle="1">
    <w:name w:val="Grid Table 3 - Accent 2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 w:customStyle="1">
    <w:name w:val="Grid Table 3 - Accent 3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 w:customStyle="1">
    <w:name w:val="Grid Table 3 - Accent 4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 w:customStyle="1">
    <w:name w:val="Grid Table 3 - Accent 5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 w:customStyle="1">
    <w:name w:val="Grid Table 3 - Accent 6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 w:customStyle="1">
    <w:name w:val="Таблица-сетка 41"/>
    <w:basedOn w:val="962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51" w:customStyle="1">
    <w:name w:val="Grid Table 4 - Accent 1"/>
    <w:basedOn w:val="962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052" w:customStyle="1">
    <w:name w:val="Grid Table 4 - Accent 2"/>
    <w:basedOn w:val="962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053" w:customStyle="1">
    <w:name w:val="Grid Table 4 - Accent 3"/>
    <w:basedOn w:val="962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054" w:customStyle="1">
    <w:name w:val="Grid Table 4 - Accent 4"/>
    <w:basedOn w:val="962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055" w:customStyle="1">
    <w:name w:val="Grid Table 4 - Accent 5"/>
    <w:basedOn w:val="962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056" w:customStyle="1">
    <w:name w:val="Grid Table 4 - Accent 6"/>
    <w:basedOn w:val="962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057" w:customStyle="1">
    <w:name w:val="Таблица-сетка 5 темная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058" w:customStyle="1">
    <w:name w:val="Grid Table 5 Dark- Accent 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059" w:customStyle="1">
    <w:name w:val="Grid Table 5 Dark - Accent 2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060" w:customStyle="1">
    <w:name w:val="Grid Table 5 Dark - Accent 3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061" w:customStyle="1">
    <w:name w:val="Grid Table 5 Dark- Accent 4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062" w:customStyle="1">
    <w:name w:val="Grid Table 5 Dark - Accent 5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063" w:customStyle="1">
    <w:name w:val="Grid Table 5 Dark - Accent 6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064" w:customStyle="1">
    <w:name w:val="Таблица-сетка 6 цветная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065" w:customStyle="1">
    <w:name w:val="Grid Table 6 Colorful - Accent 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066" w:customStyle="1">
    <w:name w:val="Grid Table 6 Colorful - Accent 2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067" w:customStyle="1">
    <w:name w:val="Grid Table 6 Colorful - Accent 3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068" w:customStyle="1">
    <w:name w:val="Grid Table 6 Colorful - Accent 4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069" w:customStyle="1">
    <w:name w:val="Grid Table 6 Colorful - Accent 5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070" w:customStyle="1">
    <w:name w:val="Grid Table 6 Colorful - Accent 6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071" w:customStyle="1">
    <w:name w:val="Таблица-сетка 7 цветная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2" w:customStyle="1">
    <w:name w:val="Grid Table 7 Colorful - Accent 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3" w:customStyle="1">
    <w:name w:val="Grid Table 7 Colorful - Accent 2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4" w:customStyle="1">
    <w:name w:val="Grid Table 7 Colorful - Accent 3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5" w:customStyle="1">
    <w:name w:val="Grid Table 7 Colorful - Accent 4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6" w:customStyle="1">
    <w:name w:val="Grid Table 7 Colorful - Accent 5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7" w:customStyle="1">
    <w:name w:val="Grid Table 7 Colorful - Accent 6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8" w:customStyle="1">
    <w:name w:val="Список-таблица 1 светлая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9" w:customStyle="1">
    <w:name w:val="List Table 1 Light - Accent 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0" w:customStyle="1">
    <w:name w:val="List Table 1 Light - Accent 2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1" w:customStyle="1">
    <w:name w:val="List Table 1 Light - Accent 3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2" w:customStyle="1">
    <w:name w:val="List Table 1 Light - Accent 4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3" w:customStyle="1">
    <w:name w:val="List Table 1 Light - Accent 5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4" w:customStyle="1">
    <w:name w:val="List Table 1 Light - Accent 6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5" w:customStyle="1">
    <w:name w:val="Список-таблица 2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086" w:customStyle="1">
    <w:name w:val="List Table 2 - Accent 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087" w:customStyle="1">
    <w:name w:val="List Table 2 - Accent 2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088" w:customStyle="1">
    <w:name w:val="List Table 2 - Accent 3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089" w:customStyle="1">
    <w:name w:val="List Table 2 - Accent 4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090" w:customStyle="1">
    <w:name w:val="List Table 2 - Accent 5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091" w:customStyle="1">
    <w:name w:val="List Table 2 - Accent 6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092" w:customStyle="1">
    <w:name w:val="Список-таблица 3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3" w:customStyle="1">
    <w:name w:val="List Table 3 - Accent 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4" w:customStyle="1">
    <w:name w:val="List Table 3 - Accent 2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5" w:customStyle="1">
    <w:name w:val="List Table 3 - Accent 3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6" w:customStyle="1">
    <w:name w:val="List Table 3 - Accent 4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7" w:customStyle="1">
    <w:name w:val="List Table 3 - Accent 5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8" w:customStyle="1">
    <w:name w:val="List Table 3 - Accent 6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9" w:customStyle="1">
    <w:name w:val="Список-таблица 4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0" w:customStyle="1">
    <w:name w:val="List Table 4 - Accent 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1" w:customStyle="1">
    <w:name w:val="List Table 4 - Accent 2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2" w:customStyle="1">
    <w:name w:val="List Table 4 - Accent 3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3" w:customStyle="1">
    <w:name w:val="List Table 4 - Accent 4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4" w:customStyle="1">
    <w:name w:val="List Table 4 - Accent 5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5" w:customStyle="1">
    <w:name w:val="List Table 4 - Accent 6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6" w:customStyle="1">
    <w:name w:val="Список-таблица 5 темная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07" w:customStyle="1">
    <w:name w:val="List Table 5 Dark - Accent 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08" w:customStyle="1">
    <w:name w:val="List Table 5 Dark - Accent 2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09" w:customStyle="1">
    <w:name w:val="List Table 5 Dark - Accent 3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10" w:customStyle="1">
    <w:name w:val="List Table 5 Dark - Accent 4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11" w:customStyle="1">
    <w:name w:val="List Table 5 Dark - Accent 5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12" w:customStyle="1">
    <w:name w:val="List Table 5 Dark - Accent 6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13" w:customStyle="1">
    <w:name w:val="Список-таблица 6 цветная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114" w:customStyle="1">
    <w:name w:val="List Table 6 Colorful - Accent 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115" w:customStyle="1">
    <w:name w:val="List Table 6 Colorful - Accent 2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116" w:customStyle="1">
    <w:name w:val="List Table 6 Colorful - Accent 3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117" w:customStyle="1">
    <w:name w:val="List Table 6 Colorful - Accent 4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118" w:customStyle="1">
    <w:name w:val="List Table 6 Colorful - Accent 5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119" w:customStyle="1">
    <w:name w:val="List Table 6 Colorful - Accent 6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120" w:customStyle="1">
    <w:name w:val="Список-таблица 7 цветная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1" w:customStyle="1">
    <w:name w:val="List Table 7 Colorful - Accent 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2" w:customStyle="1">
    <w:name w:val="List Table 7 Colorful - Accent 2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3" w:customStyle="1">
    <w:name w:val="List Table 7 Colorful - Accent 3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4" w:customStyle="1">
    <w:name w:val="List Table 7 Colorful - Accent 4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5" w:customStyle="1">
    <w:name w:val="List Table 7 Colorful - Accent 5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6" w:customStyle="1">
    <w:name w:val="List Table 7 Colorful - Accent 6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7" w:customStyle="1">
    <w:name w:val="Lined - Accent"/>
    <w:basedOn w:val="962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128" w:customStyle="1">
    <w:name w:val="Lined - Accent 1"/>
    <w:basedOn w:val="962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129" w:customStyle="1">
    <w:name w:val="Lined - Accent 2"/>
    <w:basedOn w:val="962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130" w:customStyle="1">
    <w:name w:val="Lined - Accent 3"/>
    <w:basedOn w:val="962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131" w:customStyle="1">
    <w:name w:val="Lined - Accent 4"/>
    <w:basedOn w:val="962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132" w:customStyle="1">
    <w:name w:val="Lined - Accent 5"/>
    <w:basedOn w:val="962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133" w:customStyle="1">
    <w:name w:val="Lined - Accent 6"/>
    <w:basedOn w:val="962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134" w:customStyle="1">
    <w:name w:val="Bordered &amp; Lined - Accent"/>
    <w:basedOn w:val="962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135" w:customStyle="1">
    <w:name w:val="Bordered &amp; Lined - Accent 1"/>
    <w:basedOn w:val="962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136" w:customStyle="1">
    <w:name w:val="Bordered &amp; Lined - Accent 2"/>
    <w:basedOn w:val="962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137" w:customStyle="1">
    <w:name w:val="Bordered &amp; Lined - Accent 3"/>
    <w:basedOn w:val="962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138" w:customStyle="1">
    <w:name w:val="Bordered &amp; Lined - Accent 4"/>
    <w:basedOn w:val="962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139" w:customStyle="1">
    <w:name w:val="Bordered &amp; Lined - Accent 5"/>
    <w:basedOn w:val="962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140" w:customStyle="1">
    <w:name w:val="Bordered &amp; Lined - Accent 6"/>
    <w:basedOn w:val="962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141" w:customStyle="1">
    <w:name w:val="Bordered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142" w:customStyle="1">
    <w:name w:val="Bordered - Accent 1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143" w:customStyle="1">
    <w:name w:val="Bordered - Accent 2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144" w:customStyle="1">
    <w:name w:val="Bordered - Accent 3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145" w:customStyle="1">
    <w:name w:val="Bordered - Accent 4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146" w:customStyle="1">
    <w:name w:val="Bordered - Accent 5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147" w:customStyle="1">
    <w:name w:val="Bordered - Accent 6"/>
    <w:basedOn w:val="962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148" w:customStyle="1">
    <w:name w:val="Footnote Text Char"/>
    <w:uiPriority w:val="99"/>
    <w:rPr>
      <w:sz w:val="18"/>
    </w:rPr>
  </w:style>
  <w:style w:type="character" w:styleId="1149" w:customStyle="1">
    <w:name w:val="Endnote Text Char"/>
    <w:uiPriority w:val="99"/>
    <w:rPr>
      <w:sz w:val="20"/>
    </w:rPr>
  </w:style>
  <w:style w:type="paragraph" w:styleId="1150">
    <w:name w:val="table of figures"/>
    <w:basedOn w:val="951"/>
    <w:next w:val="951"/>
    <w:uiPriority w:val="99"/>
    <w:unhideWhenUsed/>
  </w:style>
  <w:style w:type="paragraph" w:styleId="1151" w:customStyle="1">
    <w:name w:val="Название раздела инструкции"/>
    <w:basedOn w:val="951"/>
    <w:pPr>
      <w:jc w:val="center"/>
    </w:pPr>
    <w:rPr>
      <w:b/>
    </w:rPr>
  </w:style>
  <w:style w:type="paragraph" w:styleId="1152" w:customStyle="1">
    <w:name w:val="Раздел положения"/>
    <w:basedOn w:val="951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1153" w:customStyle="1">
    <w:name w:val="Подраздел раздела положения"/>
    <w:basedOn w:val="951"/>
    <w:pPr>
      <w:numPr>
        <w:ilvl w:val="1"/>
        <w:numId w:val="1"/>
      </w:numPr>
      <w:jc w:val="both"/>
      <w:spacing w:before="80" w:after="80"/>
    </w:pPr>
  </w:style>
  <w:style w:type="paragraph" w:styleId="1154">
    <w:name w:val="footnote text"/>
    <w:basedOn w:val="951"/>
    <w:link w:val="1155"/>
    <w:rPr>
      <w:sz w:val="20"/>
      <w:szCs w:val="20"/>
    </w:rPr>
  </w:style>
  <w:style w:type="character" w:styleId="1155" w:customStyle="1">
    <w:name w:val="Текст сноски Знак"/>
    <w:basedOn w:val="961"/>
    <w:link w:val="115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56">
    <w:name w:val="footnote reference"/>
    <w:rPr>
      <w:vertAlign w:val="superscript"/>
    </w:rPr>
  </w:style>
  <w:style w:type="paragraph" w:styleId="1157" w:customStyle="1">
    <w:name w:val="Шапка 1"/>
    <w:basedOn w:val="951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1158" w:customStyle="1">
    <w:name w:val="Шапка 2"/>
    <w:basedOn w:val="951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1159" w:customStyle="1">
    <w:name w:val="Шапка 3"/>
    <w:basedOn w:val="951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1160" w:customStyle="1">
    <w:name w:val="Название1"/>
    <w:basedOn w:val="951"/>
    <w:link w:val="1204"/>
    <w:uiPriority w:val="10"/>
    <w:qFormat/>
    <w:pPr>
      <w:jc w:val="center"/>
    </w:pPr>
    <w:rPr>
      <w:szCs w:val="20"/>
    </w:rPr>
  </w:style>
  <w:style w:type="paragraph" w:styleId="1161" w:customStyle="1">
    <w:name w:val="Верхний колонтитул1"/>
    <w:basedOn w:val="951"/>
    <w:link w:val="1162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character" w:styleId="1162" w:customStyle="1">
    <w:name w:val="Верхний колонтитул Знак"/>
    <w:basedOn w:val="961"/>
    <w:link w:val="116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3">
    <w:name w:val="Body Text Indent"/>
    <w:basedOn w:val="951"/>
    <w:link w:val="1164"/>
    <w:pPr>
      <w:ind w:left="360"/>
    </w:pPr>
    <w:rPr>
      <w:sz w:val="24"/>
      <w:szCs w:val="24"/>
    </w:rPr>
  </w:style>
  <w:style w:type="character" w:styleId="1164" w:customStyle="1">
    <w:name w:val="Основной текст с отступом Знак"/>
    <w:basedOn w:val="961"/>
    <w:link w:val="1163"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165">
    <w:name w:val="Table Grid"/>
    <w:basedOn w:val="962"/>
    <w:uiPriority w:val="3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66" w:customStyle="1">
    <w:name w:val="Нижний колонтитул1"/>
    <w:basedOn w:val="951"/>
    <w:link w:val="1022"/>
    <w:uiPriority w:val="99"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1167" w:customStyle="1">
    <w:name w:val="Нижний колонтитул Знак1"/>
    <w:basedOn w:val="961"/>
    <w:uiPriority w:val="99"/>
    <w:semiHidden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168">
    <w:name w:val="Body Text"/>
    <w:basedOn w:val="951"/>
    <w:link w:val="1169"/>
    <w:pPr>
      <w:spacing w:after="120"/>
    </w:pPr>
  </w:style>
  <w:style w:type="character" w:styleId="1169" w:customStyle="1">
    <w:name w:val="Основной текст Знак"/>
    <w:basedOn w:val="961"/>
    <w:link w:val="1168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170">
    <w:name w:val="Body Text Indent 2"/>
    <w:basedOn w:val="951"/>
    <w:link w:val="1171"/>
    <w:pPr>
      <w:ind w:left="283"/>
      <w:spacing w:after="120" w:line="480" w:lineRule="auto"/>
    </w:pPr>
  </w:style>
  <w:style w:type="character" w:styleId="1171" w:customStyle="1">
    <w:name w:val="Основной текст с отступом 2 Знак"/>
    <w:basedOn w:val="961"/>
    <w:link w:val="1170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172">
    <w:name w:val="Body Text 3"/>
    <w:basedOn w:val="951"/>
    <w:link w:val="1173"/>
    <w:pPr>
      <w:spacing w:after="120"/>
    </w:pPr>
    <w:rPr>
      <w:sz w:val="16"/>
      <w:szCs w:val="16"/>
    </w:rPr>
  </w:style>
  <w:style w:type="character" w:styleId="1173" w:customStyle="1">
    <w:name w:val="Основной текст 3 Знак"/>
    <w:basedOn w:val="961"/>
    <w:link w:val="1172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174">
    <w:name w:val="Body Text Indent 3"/>
    <w:basedOn w:val="951"/>
    <w:link w:val="1175"/>
    <w:pPr>
      <w:ind w:left="283"/>
      <w:spacing w:after="120"/>
    </w:pPr>
    <w:rPr>
      <w:sz w:val="16"/>
      <w:szCs w:val="16"/>
    </w:rPr>
  </w:style>
  <w:style w:type="character" w:styleId="1175" w:customStyle="1">
    <w:name w:val="Основной текст с отступом 3 Знак"/>
    <w:basedOn w:val="961"/>
    <w:link w:val="1174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176">
    <w:name w:val="Body Text 2"/>
    <w:basedOn w:val="951"/>
    <w:link w:val="1177"/>
    <w:pPr>
      <w:spacing w:after="120" w:line="480" w:lineRule="auto"/>
    </w:pPr>
  </w:style>
  <w:style w:type="character" w:styleId="1177" w:customStyle="1">
    <w:name w:val="Основной текст 2 Знак"/>
    <w:basedOn w:val="961"/>
    <w:link w:val="1176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178">
    <w:name w:val="Block Text"/>
    <w:basedOn w:val="951"/>
    <w:pPr>
      <w:ind w:left="-567" w:right="-766"/>
      <w:jc w:val="center"/>
    </w:pPr>
    <w:rPr>
      <w:b/>
      <w:bCs/>
      <w:sz w:val="24"/>
      <w:szCs w:val="20"/>
    </w:rPr>
  </w:style>
  <w:style w:type="paragraph" w:styleId="1179" w:customStyle="1">
    <w:name w:val="Подпункт"/>
    <w:basedOn w:val="951"/>
    <w:link w:val="1229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180" w:customStyle="1">
    <w:name w:val="Пункт2"/>
    <w:basedOn w:val="951"/>
    <w:link w:val="1251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181">
    <w:name w:val="page number"/>
    <w:basedOn w:val="961"/>
  </w:style>
  <w:style w:type="paragraph" w:styleId="1182">
    <w:name w:val="toc 1"/>
    <w:basedOn w:val="951"/>
    <w:next w:val="951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1183">
    <w:name w:val="toc 3"/>
    <w:basedOn w:val="951"/>
    <w:next w:val="951"/>
    <w:uiPriority w:val="39"/>
    <w:pPr>
      <w:ind w:left="280"/>
    </w:pPr>
    <w:rPr>
      <w:rFonts w:cstheme="minorHAnsi"/>
      <w:sz w:val="20"/>
      <w:szCs w:val="20"/>
    </w:rPr>
  </w:style>
  <w:style w:type="character" w:styleId="1184">
    <w:name w:val="Hyperlink"/>
    <w:uiPriority w:val="99"/>
    <w:rPr>
      <w:color w:val="0000ff"/>
      <w:u w:val="single"/>
    </w:rPr>
  </w:style>
  <w:style w:type="paragraph" w:styleId="1185" w:customStyle="1">
    <w:name w:val="Раздел регламента"/>
    <w:basedOn w:val="951"/>
  </w:style>
  <w:style w:type="paragraph" w:styleId="1186" w:customStyle="1">
    <w:name w:val="Приложение к регламенту"/>
    <w:basedOn w:val="951"/>
    <w:pPr>
      <w:jc w:val="right"/>
    </w:pPr>
  </w:style>
  <w:style w:type="paragraph" w:styleId="1187">
    <w:name w:val="toc 2"/>
    <w:basedOn w:val="951"/>
    <w:next w:val="951"/>
    <w:uiPriority w:val="39"/>
    <w:pPr>
      <w:spacing w:before="240"/>
    </w:pPr>
    <w:rPr>
      <w:rFonts w:cstheme="minorHAnsi"/>
      <w:bCs/>
      <w:sz w:val="20"/>
      <w:szCs w:val="20"/>
    </w:rPr>
  </w:style>
  <w:style w:type="paragraph" w:styleId="1188">
    <w:name w:val="Balloon Text"/>
    <w:basedOn w:val="951"/>
    <w:link w:val="1189"/>
    <w:semiHidden/>
    <w:rPr>
      <w:rFonts w:ascii="Tahoma" w:hAnsi="Tahoma" w:cs="Tahoma"/>
      <w:sz w:val="16"/>
      <w:szCs w:val="16"/>
    </w:rPr>
  </w:style>
  <w:style w:type="character" w:styleId="1189" w:customStyle="1">
    <w:name w:val="Текст выноски Знак"/>
    <w:basedOn w:val="961"/>
    <w:link w:val="1188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190">
    <w:name w:val="annotation reference"/>
    <w:semiHidden/>
    <w:rPr>
      <w:sz w:val="16"/>
      <w:szCs w:val="16"/>
    </w:rPr>
  </w:style>
  <w:style w:type="paragraph" w:styleId="1191">
    <w:name w:val="annotation text"/>
    <w:basedOn w:val="951"/>
    <w:link w:val="1192"/>
    <w:rPr>
      <w:sz w:val="20"/>
      <w:szCs w:val="20"/>
    </w:rPr>
  </w:style>
  <w:style w:type="character" w:styleId="1192" w:customStyle="1">
    <w:name w:val="Текст примечания Знак"/>
    <w:basedOn w:val="961"/>
    <w:link w:val="119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93">
    <w:name w:val="annotation subject"/>
    <w:basedOn w:val="1191"/>
    <w:next w:val="1191"/>
    <w:link w:val="1194"/>
    <w:semiHidden/>
    <w:rPr>
      <w:b/>
      <w:bCs/>
    </w:rPr>
  </w:style>
  <w:style w:type="character" w:styleId="1194" w:customStyle="1">
    <w:name w:val="Тема примечания Знак"/>
    <w:basedOn w:val="1192"/>
    <w:link w:val="1193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195" w:customStyle="1">
    <w:name w:val="Обычный (веб)1"/>
    <w:basedOn w:val="951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196">
    <w:name w:val="toc 9"/>
    <w:basedOn w:val="951"/>
    <w:next w:val="951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197">
    <w:name w:val="toc 5"/>
    <w:basedOn w:val="951"/>
    <w:next w:val="951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198">
    <w:name w:val="toc 4"/>
    <w:basedOn w:val="951"/>
    <w:next w:val="951"/>
    <w:uiPriority w:val="39"/>
    <w:pPr>
      <w:ind w:left="560"/>
      <w:tabs>
        <w:tab w:val="left" w:pos="1120" w:leader="none"/>
        <w:tab w:val="right" w:pos="9911" w:leader="none"/>
      </w:tabs>
    </w:pPr>
    <w:rPr>
      <w:rFonts w:cstheme="minorHAnsi"/>
      <w:sz w:val="20"/>
      <w:szCs w:val="20"/>
    </w:rPr>
  </w:style>
  <w:style w:type="paragraph" w:styleId="1199" w:customStyle="1">
    <w:name w:val="Раздел положения 2"/>
    <w:basedOn w:val="951"/>
    <w:pPr>
      <w:jc w:val="both"/>
      <w:pageBreakBefore/>
      <w:outlineLvl w:val="0"/>
    </w:pPr>
    <w:rPr>
      <w:b/>
    </w:rPr>
  </w:style>
  <w:style w:type="character" w:styleId="1200">
    <w:name w:val="Strong"/>
    <w:uiPriority w:val="22"/>
    <w:qFormat/>
    <w:rPr>
      <w:b/>
      <w:bCs/>
    </w:rPr>
  </w:style>
  <w:style w:type="paragraph" w:styleId="1201" w:customStyle="1">
    <w:name w:val="Знак Знак Знак Знак Знак Знак Знак Знак Знак"/>
    <w:basedOn w:val="951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202">
    <w:name w:val="No Spacing"/>
    <w:basedOn w:val="951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203" w:customStyle="1">
    <w:name w:val="Название объекта1"/>
    <w:basedOn w:val="951"/>
    <w:next w:val="951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204" w:customStyle="1">
    <w:name w:val="Название Знак"/>
    <w:link w:val="1160"/>
    <w:uiPriority w:val="10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205">
    <w:name w:val="Subtitle"/>
    <w:basedOn w:val="951"/>
    <w:next w:val="951"/>
    <w:link w:val="1206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206" w:customStyle="1">
    <w:name w:val="Подзаголовок Знак"/>
    <w:basedOn w:val="961"/>
    <w:link w:val="1205"/>
    <w:uiPriority w:val="11"/>
    <w:rPr>
      <w:rFonts w:ascii="Cambria" w:hAnsi="Cambria" w:eastAsia="Times New Roman" w:cs="Times New Roman"/>
      <w:i/>
      <w:iCs/>
      <w:color w:val="4f81bd"/>
      <w:spacing w:val="15"/>
      <w:sz w:val="24"/>
      <w:szCs w:val="24"/>
      <w:lang w:eastAsia="ru-RU"/>
    </w:rPr>
  </w:style>
  <w:style w:type="character" w:styleId="1207">
    <w:name w:val="Emphasis"/>
    <w:uiPriority w:val="20"/>
    <w:qFormat/>
    <w:rPr>
      <w:i/>
      <w:iCs/>
    </w:rPr>
  </w:style>
  <w:style w:type="paragraph" w:styleId="1208">
    <w:name w:val="List Paragraph"/>
    <w:basedOn w:val="951"/>
    <w:link w:val="1236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209">
    <w:name w:val="Quote"/>
    <w:basedOn w:val="951"/>
    <w:next w:val="951"/>
    <w:link w:val="1210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210" w:customStyle="1">
    <w:name w:val="Цитата 2 Знак"/>
    <w:basedOn w:val="961"/>
    <w:link w:val="1209"/>
    <w:uiPriority w:val="29"/>
    <w:rPr>
      <w:rFonts w:ascii="Calibri" w:hAnsi="Calibri" w:eastAsia="Calibri" w:cs="Times New Roman"/>
      <w:i/>
      <w:iCs/>
      <w:color w:val="000000"/>
      <w:sz w:val="20"/>
      <w:szCs w:val="20"/>
      <w:lang w:eastAsia="ru-RU"/>
    </w:rPr>
  </w:style>
  <w:style w:type="paragraph" w:styleId="1211">
    <w:name w:val="Intense Quote"/>
    <w:basedOn w:val="951"/>
    <w:next w:val="951"/>
    <w:link w:val="1212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212" w:customStyle="1">
    <w:name w:val="Выделенная цитата Знак"/>
    <w:basedOn w:val="961"/>
    <w:link w:val="1211"/>
    <w:uiPriority w:val="30"/>
    <w:rPr>
      <w:rFonts w:ascii="Calibri" w:hAnsi="Calibri" w:eastAsia="Calibri" w:cs="Times New Roman"/>
      <w:b/>
      <w:bCs/>
      <w:i/>
      <w:iCs/>
      <w:color w:val="4f81bd"/>
      <w:sz w:val="20"/>
      <w:szCs w:val="20"/>
      <w:lang w:eastAsia="ru-RU"/>
    </w:rPr>
  </w:style>
  <w:style w:type="character" w:styleId="1213">
    <w:name w:val="Subtle Emphasis"/>
    <w:uiPriority w:val="19"/>
    <w:qFormat/>
    <w:rPr>
      <w:i/>
      <w:iCs/>
      <w:color w:val="808080"/>
    </w:rPr>
  </w:style>
  <w:style w:type="character" w:styleId="1214">
    <w:name w:val="Intense Emphasis"/>
    <w:uiPriority w:val="21"/>
    <w:qFormat/>
    <w:rPr>
      <w:b/>
      <w:bCs/>
      <w:i/>
      <w:iCs/>
      <w:color w:val="4f81bd"/>
    </w:rPr>
  </w:style>
  <w:style w:type="character" w:styleId="1215">
    <w:name w:val="Subtle Reference"/>
    <w:uiPriority w:val="31"/>
    <w:qFormat/>
    <w:rPr>
      <w:smallCaps/>
      <w:color w:val="c0504d"/>
      <w:u w:val="single"/>
    </w:rPr>
  </w:style>
  <w:style w:type="character" w:styleId="1216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217">
    <w:name w:val="Book Title"/>
    <w:uiPriority w:val="33"/>
    <w:qFormat/>
    <w:rPr>
      <w:b/>
      <w:bCs/>
      <w:smallCaps/>
      <w:spacing w:val="5"/>
    </w:rPr>
  </w:style>
  <w:style w:type="paragraph" w:styleId="1218">
    <w:name w:val="TOC Heading"/>
    <w:basedOn w:val="986"/>
    <w:next w:val="951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219">
    <w:name w:val="E-mail Signature"/>
    <w:basedOn w:val="951"/>
    <w:link w:val="1220"/>
    <w:uiPriority w:val="99"/>
    <w:unhideWhenUsed/>
    <w:rPr>
      <w:rFonts w:eastAsia="Calibri"/>
      <w:sz w:val="24"/>
      <w:szCs w:val="24"/>
    </w:rPr>
  </w:style>
  <w:style w:type="character" w:styleId="1220" w:customStyle="1">
    <w:name w:val="Электронная подпись Знак"/>
    <w:basedOn w:val="961"/>
    <w:link w:val="1219"/>
    <w:uiPriority w:val="99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221" w:customStyle="1">
    <w:name w:val="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22" w:customStyle="1">
    <w:name w:val="Нумерованный список ур3"/>
    <w:basedOn w:val="951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223" w:customStyle="1">
    <w:name w:val="Нумерованный список 1"/>
    <w:basedOn w:val="951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224" w:customStyle="1">
    <w:name w:val="Нумерованный список ур2"/>
    <w:basedOn w:val="951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225">
    <w:name w:val="Revision"/>
    <w:hidden/>
    <w:uiPriority w:val="99"/>
    <w:semiHidden/>
    <w:pPr>
      <w:ind w:firstLine="0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226" w:customStyle="1">
    <w:name w:val="ConsPlusNormal"/>
    <w:pPr>
      <w:ind w:firstLine="720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227" w:customStyle="1">
    <w:name w:val="Знак Знак3 Знак Знак"/>
    <w:basedOn w:val="951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228" w:customStyle="1">
    <w:name w:val="Пункт"/>
    <w:basedOn w:val="951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229" w:customStyle="1">
    <w:name w:val="Подпункт Знак1"/>
    <w:link w:val="1179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230" w:customStyle="1">
    <w:name w:val="Абзац списка1"/>
    <w:basedOn w:val="951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numbering" w:styleId="1231" w:customStyle="1">
    <w:name w:val="Стиль1"/>
    <w:uiPriority w:val="99"/>
    <w:pPr>
      <w:numPr>
        <w:ilvl w:val="0"/>
        <w:numId w:val="3"/>
      </w:numPr>
    </w:pPr>
  </w:style>
  <w:style w:type="paragraph" w:styleId="1232" w:customStyle="1">
    <w:name w:val="Таблица"/>
    <w:basedOn w:val="951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233" w:customStyle="1">
    <w:name w:val="blk"/>
  </w:style>
  <w:style w:type="numbering" w:styleId="1234" w:customStyle="1">
    <w:name w:val="Стиль2"/>
    <w:uiPriority w:val="99"/>
    <w:pPr>
      <w:numPr>
        <w:ilvl w:val="0"/>
        <w:numId w:val="5"/>
      </w:numPr>
    </w:pPr>
  </w:style>
  <w:style w:type="paragraph" w:styleId="1235" w:customStyle="1">
    <w:name w:val="Таблица шапка"/>
    <w:basedOn w:val="951"/>
    <w:pPr>
      <w:ind w:left="57" w:right="57"/>
      <w:keepNext/>
      <w:spacing w:before="40" w:after="40"/>
    </w:pPr>
    <w:rPr>
      <w:sz w:val="22"/>
      <w:szCs w:val="26"/>
    </w:rPr>
  </w:style>
  <w:style w:type="character" w:styleId="1236" w:customStyle="1">
    <w:name w:val="Абзац списка Знак"/>
    <w:link w:val="1208"/>
    <w:uiPriority w:val="34"/>
    <w:qFormat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1237" w:customStyle="1">
    <w:name w:val="комментарий"/>
    <w:rPr>
      <w:b/>
      <w:i/>
      <w:shd w:val="clear" w:color="auto" w:fill="ffff99"/>
    </w:rPr>
  </w:style>
  <w:style w:type="paragraph" w:styleId="1238" w:customStyle="1">
    <w:name w:val="Подподпункт"/>
    <w:basedOn w:val="1179"/>
    <w:link w:val="1239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239" w:customStyle="1">
    <w:name w:val="Подподпункт Знак"/>
    <w:link w:val="1238"/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1240" w:customStyle="1">
    <w:name w:val="УРОВЕНЬ_(а)"/>
    <w:basedOn w:val="1208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241" w:customStyle="1">
    <w:name w:val="УРОВЕНЬ_-"/>
    <w:basedOn w:val="1208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242" w:customStyle="1">
    <w:name w:val="УРОВЕНЬ_Абзац_тип2"/>
    <w:basedOn w:val="1208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243" w:customStyle="1">
    <w:name w:val="УРОВЕНЬ_Абзац_тип3"/>
    <w:basedOn w:val="1208"/>
    <w:link w:val="1245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244" w:customStyle="1">
    <w:name w:val="УРОВЕНЬ_Подпись"/>
    <w:basedOn w:val="1208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245" w:customStyle="1">
    <w:name w:val="УРОВЕНЬ_Абзац_тип3 Знак"/>
    <w:link w:val="1243"/>
    <w:rPr>
      <w:rFonts w:ascii="Times New Roman" w:hAnsi="Times New Roman" w:eastAsia="Calibri" w:cs="Times New Roman"/>
      <w:sz w:val="26"/>
      <w:szCs w:val="28"/>
    </w:rPr>
  </w:style>
  <w:style w:type="paragraph" w:styleId="1246" w:customStyle="1">
    <w:name w:val="Стиль Заголовок 1 + по ширине"/>
    <w:basedOn w:val="986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247">
    <w:name w:val="endnote text"/>
    <w:basedOn w:val="951"/>
    <w:link w:val="1248"/>
    <w:rPr>
      <w:sz w:val="20"/>
      <w:szCs w:val="20"/>
    </w:rPr>
  </w:style>
  <w:style w:type="character" w:styleId="1248" w:customStyle="1">
    <w:name w:val="Текст концевой сноски Знак"/>
    <w:basedOn w:val="961"/>
    <w:link w:val="1247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249">
    <w:name w:val="endnote reference"/>
    <w:basedOn w:val="961"/>
    <w:rPr>
      <w:vertAlign w:val="superscript"/>
    </w:rPr>
  </w:style>
  <w:style w:type="paragraph" w:styleId="1250" w:customStyle="1">
    <w:name w:val="Заголовок 2 КВВ"/>
    <w:basedOn w:val="951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251" w:customStyle="1">
    <w:name w:val="Пункт2 Знак"/>
    <w:link w:val="1180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1252" w:customStyle="1">
    <w:name w:val="Таблица текст"/>
    <w:basedOn w:val="951"/>
    <w:pPr>
      <w:ind w:left="57" w:right="57"/>
      <w:spacing w:before="40" w:after="40"/>
    </w:pPr>
    <w:rPr>
      <w:sz w:val="24"/>
      <w:szCs w:val="26"/>
    </w:rPr>
  </w:style>
  <w:style w:type="paragraph" w:styleId="1253">
    <w:name w:val="Normal (Web)"/>
    <w:basedOn w:val="951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254" w:customStyle="1">
    <w:name w:val="УРОВЕНЬ_1."/>
    <w:basedOn w:val="1208"/>
    <w:link w:val="1255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255" w:customStyle="1">
    <w:name w:val="УРОВЕНЬ_1. Знак"/>
    <w:link w:val="1254"/>
    <w:rPr>
      <w:rFonts w:ascii="Times New Roman" w:hAnsi="Times New Roman" w:eastAsia="Calibri" w:cs="Times New Roman"/>
      <w:caps/>
      <w:sz w:val="28"/>
      <w:szCs w:val="28"/>
    </w:rPr>
  </w:style>
  <w:style w:type="table" w:styleId="1256" w:customStyle="1">
    <w:name w:val="Сетка таблицы1"/>
    <w:basedOn w:val="962"/>
    <w:next w:val="1165"/>
    <w:uiPriority w:val="39"/>
    <w:pPr>
      <w:ind w:firstLine="0"/>
    </w:pPr>
    <w:rPr>
      <w:sz w:val="24"/>
      <w:szCs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57">
    <w:name w:val="toc 6"/>
    <w:basedOn w:val="951"/>
    <w:next w:val="951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258">
    <w:name w:val="toc 7"/>
    <w:basedOn w:val="951"/>
    <w:next w:val="951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259">
    <w:name w:val="toc 8"/>
    <w:basedOn w:val="951"/>
    <w:next w:val="951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1260">
    <w:name w:val="List Bullet 2"/>
    <w:basedOn w:val="951"/>
    <w:pPr>
      <w:numPr>
        <w:ilvl w:val="0"/>
        <w:numId w:val="11"/>
      </w:numPr>
    </w:pPr>
    <w:rPr>
      <w:sz w:val="20"/>
      <w:szCs w:val="20"/>
    </w:rPr>
  </w:style>
  <w:style w:type="paragraph" w:styleId="1261" w:customStyle="1">
    <w:name w:val="Default"/>
    <w:pPr>
      <w:ind w:firstLine="0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1262" w:customStyle="1">
    <w:name w:val="Основной текст (2)_"/>
    <w:basedOn w:val="961"/>
    <w:link w:val="1263"/>
    <w:rPr>
      <w:shd w:val="clear" w:color="auto" w:fill="ffffff"/>
    </w:rPr>
  </w:style>
  <w:style w:type="paragraph" w:styleId="1263" w:customStyle="1">
    <w:name w:val="Основной текст (2)"/>
    <w:basedOn w:val="951"/>
    <w:link w:val="1262"/>
    <w:pPr>
      <w:ind w:hanging="1000"/>
      <w:jc w:val="both"/>
      <w:spacing w:before="360" w:after="360" w:line="0" w:lineRule="atLeast"/>
      <w:shd w:val="clear" w:color="auto" w:fill="ffffff"/>
      <w:widowControl w:val="off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1264" w:customStyle="1">
    <w:name w:val="Основной текст (2) + Курсив"/>
    <w:basedOn w:val="1262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Cs w:val="22"/>
      <w:u w:val="none"/>
      <w:shd w:val="clear" w:color="auto" w:fill="ffffff"/>
      <w:lang w:val="ru-RU" w:eastAsia="ru-RU" w:bidi="ru-RU"/>
    </w:rPr>
  </w:style>
  <w:style w:type="paragraph" w:styleId="1265" w:customStyle="1">
    <w:name w:val="Знак Знак Знак Знак Знак Знак"/>
    <w:basedOn w:val="951"/>
    <w:next w:val="986"/>
    <w:pPr>
      <w:jc w:val="both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1266" w:customStyle="1">
    <w:name w:val="Font Style17"/>
    <w:rPr>
      <w:rFonts w:ascii="Times New Roman" w:hAnsi="Times New Roman"/>
      <w:sz w:val="20"/>
      <w:szCs w:val="20"/>
    </w:rPr>
  </w:style>
  <w:style w:type="paragraph" w:styleId="1267" w:customStyle="1">
    <w:name w:val="Абзац списка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customXml" Target="../customXml/item1.xml" /><Relationship Id="rId16" Type="http://schemas.openxmlformats.org/officeDocument/2006/relationships/hyperlink" Target="mailto:stepan-dv@dgk.ru" TargetMode="External"/><Relationship Id="rId17" Type="http://schemas.openxmlformats.org/officeDocument/2006/relationships/comments" Target="comments.xml" /><Relationship Id="rId18" Type="http://schemas.microsoft.com/office/2011/relationships/commentsExtended" Target="commentsExtended.xml" /><Relationship Id="rId19" Type="http://schemas.microsoft.com/office/2018/08/relationships/commentsExtensible" Target="commentsExtensible.xml" /><Relationship Id="rId20" Type="http://schemas.microsoft.com/office/2016/09/relationships/commentsIds" Target="commentsIds.xml" /><Relationship Id="rId21" Type="http://schemas.microsoft.com/office/2011/relationships/people" Target="people.xml" /><Relationship Id="rId22" Type="http://schemas.onlyoffice.com/commentsDocument" Target="commentsDocument.xml" /><Relationship Id="rId23" Type="http://schemas.onlyoffice.com/commentsExtendedDocument" Target="commentsExtendedDocument.xml" /><Relationship Id="rId24" Type="http://schemas.onlyoffice.com/commentsExtensibleDocument" Target="commentsExtensibleDocument.xml" /><Relationship Id="rId25" Type="http://schemas.onlyoffice.com/commentsIdsDocument" Target="commentsIdsDocument.xml" /><Relationship Id="rId26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9A0B37-0E93-4221-9F24-BA3C4516A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Мохов Александр Валерьевич</dc:creator>
  <cp:keywords/>
  <dc:description/>
  <cp:lastModifiedBy>lutfullina_ee</cp:lastModifiedBy>
  <cp:revision>67</cp:revision>
  <dcterms:created xsi:type="dcterms:W3CDTF">2023-02-01T22:44:00Z</dcterms:created>
  <dcterms:modified xsi:type="dcterms:W3CDTF">2026-07-13T01:41:43Z</dcterms:modified>
</cp:coreProperties>
</file>